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97ACEB" w14:textId="77777777" w:rsidR="0045525D" w:rsidRPr="008D58AE" w:rsidRDefault="005479BE">
      <w:pPr>
        <w:spacing w:before="40" w:after="40"/>
        <w:rPr>
          <w:rFonts w:ascii="Times New Roman" w:hAnsi="Times New Roman" w:cs="Times New Roman"/>
          <w:sz w:val="22"/>
          <w:szCs w:val="22"/>
        </w:rPr>
      </w:pPr>
      <w:r>
        <w:rPr>
          <w:rFonts w:ascii="Times New Roman" w:hAnsi="Times New Roman" w:cs="Times New Roman"/>
          <w:b/>
          <w:bCs/>
          <w:sz w:val="22"/>
          <w:szCs w:val="22"/>
        </w:rPr>
        <w:t>SERVICE D’INFRASTRUCTURE DE LA DÉFENSE NORD-EST</w:t>
      </w:r>
    </w:p>
    <w:p w14:paraId="1CD19980" w14:textId="77777777" w:rsidR="0045525D" w:rsidRPr="008D58AE" w:rsidRDefault="005479BE">
      <w:pPr>
        <w:spacing w:before="40" w:after="40"/>
        <w:rPr>
          <w:rFonts w:ascii="Times New Roman" w:hAnsi="Times New Roman" w:cs="Times New Roman"/>
          <w:sz w:val="22"/>
          <w:szCs w:val="22"/>
        </w:rPr>
      </w:pPr>
      <w:r>
        <w:rPr>
          <w:rFonts w:ascii="Times New Roman" w:hAnsi="Times New Roman" w:cs="Times New Roman"/>
          <w:b/>
          <w:bCs/>
          <w:sz w:val="22"/>
          <w:szCs w:val="22"/>
        </w:rPr>
        <w:t>UNITÉ DE SOUTIEN DE L’INFRASTRUCTURE DE LA DÉFENSE DE BESANÇON</w:t>
      </w:r>
    </w:p>
    <w:p w14:paraId="2FFA8D28" w14:textId="77777777" w:rsidR="0045525D" w:rsidRPr="008D58AE" w:rsidRDefault="008D58AE">
      <w:pPr>
        <w:spacing w:before="40" w:after="40"/>
        <w:rPr>
          <w:rFonts w:ascii="Times New Roman" w:hAnsi="Times New Roman" w:cs="Times New Roman"/>
          <w:b/>
          <w:bCs/>
          <w:sz w:val="22"/>
          <w:szCs w:val="22"/>
        </w:rPr>
      </w:pPr>
      <w:r>
        <w:rPr>
          <w:rFonts w:ascii="Times New Roman" w:hAnsi="Times New Roman" w:cs="Times New Roman"/>
          <w:b/>
          <w:bCs/>
          <w:sz w:val="22"/>
          <w:szCs w:val="22"/>
        </w:rPr>
        <w:t>SECTION EXPLOITATION DE LA MAINTENANCE</w:t>
      </w:r>
    </w:p>
    <w:p w14:paraId="3A060036" w14:textId="77777777" w:rsidR="008D58AE" w:rsidRPr="008D58AE" w:rsidRDefault="008D58AE">
      <w:pPr>
        <w:spacing w:before="40" w:after="40"/>
        <w:rPr>
          <w:rFonts w:ascii="Times New Roman" w:hAnsi="Times New Roman" w:cs="Times New Roman"/>
          <w:b/>
          <w:bCs/>
          <w:sz w:val="20"/>
          <w:szCs w:val="20"/>
        </w:rPr>
      </w:pPr>
    </w:p>
    <w:p w14:paraId="1342F8CD" w14:textId="77777777" w:rsidR="0045525D" w:rsidRPr="008D58AE" w:rsidRDefault="005479BE">
      <w:pPr>
        <w:spacing w:before="40" w:after="40"/>
        <w:rPr>
          <w:rFonts w:ascii="Times New Roman" w:hAnsi="Times New Roman" w:cs="Times New Roman"/>
          <w:sz w:val="22"/>
          <w:szCs w:val="22"/>
        </w:rPr>
      </w:pPr>
      <w:r>
        <w:rPr>
          <w:rFonts w:ascii="Times New Roman" w:hAnsi="Times New Roman" w:cs="Times New Roman"/>
          <w:sz w:val="22"/>
          <w:szCs w:val="22"/>
        </w:rPr>
        <w:t>Quartier RUTY – 64, rue Bersot – BP 21437 – 25007 BESANÇON Cedex</w:t>
      </w:r>
    </w:p>
    <w:p w14:paraId="0B4F9A81" w14:textId="77777777" w:rsidR="0045525D" w:rsidRPr="008D58AE" w:rsidRDefault="005479BE">
      <w:pPr>
        <w:spacing w:before="40" w:after="240"/>
        <w:rPr>
          <w:rFonts w:ascii="Times New Roman" w:hAnsi="Times New Roman" w:cs="Times New Roman"/>
          <w:sz w:val="22"/>
          <w:szCs w:val="22"/>
        </w:rPr>
      </w:pPr>
      <w:r>
        <w:rPr>
          <w:rFonts w:ascii="Times New Roman" w:hAnsi="Times New Roman" w:cs="Times New Roman"/>
          <w:sz w:val="22"/>
          <w:szCs w:val="22"/>
        </w:rPr>
        <w:t>Affaire suivie par : Indira ZERIC</w:t>
      </w:r>
    </w:p>
    <w:p w14:paraId="07E70C07" w14:textId="0B6B1C61" w:rsidR="0045525D" w:rsidRPr="008D58AE" w:rsidRDefault="005479BE">
      <w:pPr>
        <w:spacing w:before="40" w:after="240"/>
        <w:rPr>
          <w:rFonts w:ascii="Times New Roman" w:hAnsi="Times New Roman" w:cs="Times New Roman"/>
          <w:sz w:val="20"/>
        </w:rPr>
      </w:pPr>
      <w:r>
        <w:rPr>
          <w:rFonts w:ascii="Times New Roman" w:hAnsi="Times New Roman" w:cs="Times New Roman"/>
          <w:sz w:val="20"/>
        </w:rPr>
        <w:t>Marché</w:t>
      </w:r>
      <w:r w:rsidR="00416FD1">
        <w:rPr>
          <w:rFonts w:ascii="Times New Roman" w:hAnsi="Times New Roman" w:cs="Times New Roman"/>
          <w:sz w:val="20"/>
        </w:rPr>
        <w:t xml:space="preserve"> n° 25USID05-</w:t>
      </w:r>
      <w:r>
        <w:rPr>
          <w:rFonts w:ascii="Times New Roman" w:hAnsi="Times New Roman" w:cs="Times New Roman"/>
          <w:sz w:val="20"/>
        </w:rPr>
        <w:t>014 – N° COSI : 467900</w:t>
      </w:r>
    </w:p>
    <w:p w14:paraId="45C50EC2" w14:textId="77777777" w:rsidR="008D58AE" w:rsidRDefault="008D58AE">
      <w:pPr>
        <w:spacing w:before="40" w:after="240"/>
        <w:rPr>
          <w:rFonts w:ascii="Times New Roman" w:hAnsi="Times New Roman" w:cs="Times New Roman"/>
        </w:rPr>
      </w:pPr>
    </w:p>
    <w:p w14:paraId="33D3F461" w14:textId="77777777" w:rsidR="008D58AE" w:rsidRDefault="008D58AE">
      <w:pPr>
        <w:spacing w:before="40" w:after="240"/>
        <w:rPr>
          <w:rFonts w:ascii="Times New Roman" w:hAnsi="Times New Roman" w:cs="Times New Roman"/>
        </w:rPr>
      </w:pPr>
    </w:p>
    <w:p w14:paraId="65530726" w14:textId="77777777" w:rsidR="008D58AE" w:rsidRPr="008D58AE" w:rsidRDefault="008D58AE">
      <w:pPr>
        <w:spacing w:before="40" w:after="240"/>
        <w:rPr>
          <w:rFonts w:ascii="Times New Roman" w:hAnsi="Times New Roman" w:cs="Times New Roman"/>
        </w:rPr>
      </w:pP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466"/>
      </w:tblGrid>
      <w:tr w:rsidR="0045525D" w:rsidRPr="008D58AE" w14:paraId="1416F966" w14:textId="77777777" w:rsidTr="008D58AE">
        <w:tc>
          <w:tcPr>
            <w:tcW w:w="10466" w:type="dxa"/>
            <w:shd w:val="clear" w:color="auto" w:fill="BFBFBF" w:themeFill="background1" w:themeFillShade="BF"/>
            <w:tcMar>
              <w:top w:w="40" w:type="dxa"/>
              <w:left w:w="80" w:type="dxa"/>
              <w:bottom w:w="40" w:type="dxa"/>
              <w:right w:w="80" w:type="dxa"/>
            </w:tcMar>
            <w:vAlign w:val="center"/>
          </w:tcPr>
          <w:p w14:paraId="3D463BCF" w14:textId="77777777" w:rsidR="0045525D" w:rsidRPr="008D58AE" w:rsidRDefault="005479BE">
            <w:pPr>
              <w:spacing w:before="120" w:after="40"/>
              <w:jc w:val="center"/>
              <w:rPr>
                <w:rFonts w:ascii="Times New Roman" w:hAnsi="Times New Roman" w:cs="Times New Roman"/>
                <w:sz w:val="40"/>
                <w:szCs w:val="40"/>
              </w:rPr>
            </w:pPr>
            <w:r>
              <w:rPr>
                <w:rFonts w:ascii="Times New Roman" w:hAnsi="Times New Roman" w:cs="Times New Roman"/>
                <w:b/>
                <w:bCs/>
                <w:sz w:val="40"/>
                <w:szCs w:val="40"/>
              </w:rPr>
              <w:t>DEVIS DESCRIPTIF ET ESTIMATIF DÉTAILLÉ</w:t>
            </w:r>
          </w:p>
          <w:p w14:paraId="4A714978" w14:textId="77777777" w:rsidR="0045525D" w:rsidRDefault="005479BE">
            <w:pPr>
              <w:spacing w:before="40" w:after="120"/>
              <w:jc w:val="center"/>
              <w:rPr>
                <w:rFonts w:ascii="Times New Roman" w:hAnsi="Times New Roman" w:cs="Times New Roman"/>
                <w:b/>
                <w:bCs/>
                <w:sz w:val="40"/>
                <w:szCs w:val="40"/>
              </w:rPr>
            </w:pPr>
            <w:r>
              <w:rPr>
                <w:rFonts w:ascii="Times New Roman" w:hAnsi="Times New Roman" w:cs="Times New Roman"/>
                <w:b/>
                <w:bCs/>
                <w:sz w:val="40"/>
                <w:szCs w:val="40"/>
              </w:rPr>
              <w:t>(D.D.E.D.)</w:t>
            </w:r>
          </w:p>
          <w:p w14:paraId="771C4F31" w14:textId="77777777" w:rsidR="008D58AE" w:rsidRPr="008D58AE" w:rsidRDefault="008D58AE">
            <w:pPr>
              <w:spacing w:before="40" w:after="120"/>
              <w:jc w:val="center"/>
              <w:rPr>
                <w:rFonts w:ascii="Times New Roman" w:hAnsi="Times New Roman" w:cs="Times New Roman"/>
              </w:rPr>
            </w:pPr>
          </w:p>
        </w:tc>
      </w:tr>
    </w:tbl>
    <w:p w14:paraId="506A756D" w14:textId="77777777" w:rsidR="0045525D" w:rsidRDefault="0045525D">
      <w:pPr>
        <w:spacing w:before="40" w:after="40"/>
        <w:rPr>
          <w:rFonts w:ascii="Times New Roman" w:hAnsi="Times New Roman" w:cs="Times New Roman"/>
        </w:rPr>
      </w:pPr>
    </w:p>
    <w:p w14:paraId="1F27B95B" w14:textId="77777777" w:rsidR="008D58AE" w:rsidRDefault="008D58AE">
      <w:pPr>
        <w:spacing w:before="40" w:after="40"/>
        <w:rPr>
          <w:rFonts w:ascii="Times New Roman" w:hAnsi="Times New Roman" w:cs="Times New Roman"/>
        </w:rPr>
      </w:pPr>
    </w:p>
    <w:p w14:paraId="51FE9AF8" w14:textId="77777777" w:rsidR="008D58AE" w:rsidRDefault="008D58AE">
      <w:pPr>
        <w:spacing w:before="40" w:after="40"/>
        <w:rPr>
          <w:rFonts w:ascii="Times New Roman" w:hAnsi="Times New Roman" w:cs="Times New Roman"/>
        </w:rPr>
      </w:pPr>
    </w:p>
    <w:p w14:paraId="2F8BFDCD" w14:textId="77777777" w:rsidR="008D58AE" w:rsidRDefault="008D58AE">
      <w:pPr>
        <w:spacing w:before="40" w:after="40"/>
        <w:rPr>
          <w:rFonts w:ascii="Times New Roman" w:hAnsi="Times New Roman" w:cs="Times New Roman"/>
        </w:rPr>
      </w:pPr>
    </w:p>
    <w:p w14:paraId="289475EB" w14:textId="77777777" w:rsidR="008D58AE" w:rsidRPr="008D58AE" w:rsidRDefault="008D58AE">
      <w:pPr>
        <w:spacing w:before="40" w:after="40"/>
        <w:rPr>
          <w:rFonts w:ascii="Times New Roman" w:hAnsi="Times New Roman" w:cs="Times New Roman"/>
        </w:rPr>
      </w:pP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466"/>
      </w:tblGrid>
      <w:tr w:rsidR="0045525D" w:rsidRPr="008D58AE" w14:paraId="793E07EF" w14:textId="77777777" w:rsidTr="008D58AE">
        <w:tc>
          <w:tcPr>
            <w:tcW w:w="10466" w:type="dxa"/>
            <w:shd w:val="clear" w:color="auto" w:fill="BFBFBF" w:themeFill="background1" w:themeFillShade="BF"/>
            <w:tcMar>
              <w:top w:w="40" w:type="dxa"/>
              <w:left w:w="80" w:type="dxa"/>
              <w:bottom w:w="40" w:type="dxa"/>
              <w:right w:w="80" w:type="dxa"/>
            </w:tcMar>
            <w:vAlign w:val="center"/>
          </w:tcPr>
          <w:p w14:paraId="5E55A68F" w14:textId="20727D96" w:rsidR="0045525D" w:rsidRPr="008D58AE" w:rsidRDefault="005479BE" w:rsidP="009219A8">
            <w:pPr>
              <w:spacing w:before="120" w:after="40"/>
              <w:jc w:val="center"/>
              <w:rPr>
                <w:rFonts w:ascii="Times New Roman" w:hAnsi="Times New Roman" w:cs="Times New Roman"/>
                <w:sz w:val="28"/>
                <w:szCs w:val="28"/>
              </w:rPr>
            </w:pPr>
            <w:r>
              <w:rPr>
                <w:rFonts w:ascii="Times New Roman" w:hAnsi="Times New Roman" w:cs="Times New Roman"/>
                <w:b/>
                <w:bCs/>
                <w:sz w:val="28"/>
                <w:szCs w:val="28"/>
              </w:rPr>
              <w:t>BESANCON (25)</w:t>
            </w:r>
          </w:p>
          <w:p w14:paraId="16E39591" w14:textId="77777777" w:rsidR="008D58AE" w:rsidRDefault="005479BE">
            <w:pPr>
              <w:spacing w:before="40" w:after="40"/>
              <w:jc w:val="center"/>
              <w:rPr>
                <w:rFonts w:ascii="Times New Roman" w:hAnsi="Times New Roman" w:cs="Times New Roman"/>
                <w:b/>
                <w:bCs/>
                <w:sz w:val="28"/>
                <w:szCs w:val="28"/>
              </w:rPr>
            </w:pPr>
            <w:r>
              <w:rPr>
                <w:rFonts w:ascii="Times New Roman" w:hAnsi="Times New Roman" w:cs="Times New Roman"/>
                <w:b/>
                <w:bCs/>
                <w:sz w:val="28"/>
                <w:szCs w:val="28"/>
              </w:rPr>
              <w:t xml:space="preserve">– Quartier BRUN – Bâtiment 87 et Bâtiments 72, 73, 74 (H) – </w:t>
            </w:r>
          </w:p>
          <w:p w14:paraId="33ED9872" w14:textId="77777777" w:rsidR="0045525D" w:rsidRPr="008D58AE" w:rsidRDefault="005479BE">
            <w:pPr>
              <w:spacing w:before="40" w:after="40"/>
              <w:jc w:val="center"/>
              <w:rPr>
                <w:rFonts w:ascii="Times New Roman" w:hAnsi="Times New Roman" w:cs="Times New Roman"/>
                <w:sz w:val="28"/>
                <w:szCs w:val="28"/>
              </w:rPr>
            </w:pPr>
            <w:r>
              <w:rPr>
                <w:rFonts w:ascii="Times New Roman" w:hAnsi="Times New Roman" w:cs="Times New Roman"/>
                <w:b/>
                <w:bCs/>
                <w:sz w:val="28"/>
                <w:szCs w:val="28"/>
              </w:rPr>
              <w:t>Réhabilitation des bâtiments</w:t>
            </w:r>
          </w:p>
          <w:p w14:paraId="3CFE0CCE" w14:textId="77777777" w:rsidR="0045525D" w:rsidRPr="008D58AE" w:rsidRDefault="005479BE">
            <w:pPr>
              <w:spacing w:before="160" w:after="120"/>
              <w:jc w:val="center"/>
              <w:rPr>
                <w:rFonts w:ascii="Times New Roman" w:hAnsi="Times New Roman" w:cs="Times New Roman"/>
              </w:rPr>
            </w:pPr>
            <w:r>
              <w:rPr>
                <w:rFonts w:ascii="Times New Roman" w:hAnsi="Times New Roman" w:cs="Times New Roman"/>
                <w:b/>
                <w:bCs/>
                <w:sz w:val="28"/>
                <w:szCs w:val="28"/>
              </w:rPr>
              <w:t>LOT N° 02 : SECOND-ŒUVRE</w:t>
            </w:r>
          </w:p>
        </w:tc>
      </w:tr>
    </w:tbl>
    <w:p w14:paraId="5BC35881" w14:textId="77777777" w:rsidR="008D58AE" w:rsidRDefault="008D58AE">
      <w:pPr>
        <w:spacing w:before="40" w:after="300"/>
        <w:rPr>
          <w:rFonts w:ascii="Times New Roman" w:hAnsi="Times New Roman" w:cs="Times New Roman"/>
        </w:rPr>
      </w:pPr>
    </w:p>
    <w:p w14:paraId="7027304A" w14:textId="77777777" w:rsidR="008D58AE" w:rsidRPr="008D58AE" w:rsidRDefault="008D58AE">
      <w:pPr>
        <w:spacing w:before="40" w:after="300"/>
        <w:rPr>
          <w:rFonts w:ascii="Times New Roman" w:hAnsi="Times New Roman" w:cs="Times New Roman"/>
        </w:rPr>
      </w:pPr>
    </w:p>
    <w:p w14:paraId="2A748883" w14:textId="77777777" w:rsidR="0045525D" w:rsidRPr="008D58AE" w:rsidRDefault="005479BE">
      <w:pPr>
        <w:spacing w:before="200" w:after="40"/>
        <w:rPr>
          <w:rFonts w:ascii="Times New Roman" w:hAnsi="Times New Roman" w:cs="Times New Roman"/>
        </w:rPr>
      </w:pPr>
      <w:r>
        <w:rPr>
          <w:rFonts w:ascii="Times New Roman" w:hAnsi="Times New Roman" w:cs="Times New Roman"/>
          <w:b/>
          <w:bCs/>
          <w:sz w:val="20"/>
          <w:szCs w:val="20"/>
        </w:rPr>
        <w:t>NOTA – MODALITÉS D’ÉTABLISSEMENT DES PRIX</w:t>
      </w:r>
    </w:p>
    <w:p w14:paraId="53A5C65B" w14:textId="77777777" w:rsidR="0045525D" w:rsidRPr="008D58AE" w:rsidRDefault="005479BE" w:rsidP="008528C2">
      <w:pPr>
        <w:spacing w:before="40" w:after="40"/>
        <w:jc w:val="both"/>
        <w:rPr>
          <w:rFonts w:ascii="Times New Roman" w:hAnsi="Times New Roman" w:cs="Times New Roman"/>
          <w:sz w:val="22"/>
          <w:szCs w:val="22"/>
        </w:rPr>
      </w:pPr>
      <w:r>
        <w:rPr>
          <w:rFonts w:ascii="Times New Roman" w:hAnsi="Times New Roman" w:cs="Times New Roman"/>
          <w:sz w:val="22"/>
          <w:szCs w:val="22"/>
        </w:rPr>
        <w:t>1. Le présent DDED est indissociable du CCTP du lot n°2 « Second-Œuvre » (sections techniques 1 et 2), du CCAP, du carnet de plans (états existant et projeté des bâtiments 087 et H 072-073-074) ainsi que des diagnostics amiante et plomb avant travaux. Chaque prix rémunère l’ouvrage complet, fini, en ordre de marche, toutes sujétions comprises, conformément aux prescriptions du CCTP. L’installation de chantier commune est prise en compte par le lot n°1.</w:t>
      </w:r>
    </w:p>
    <w:p w14:paraId="19B776D0" w14:textId="68E21060" w:rsidR="0045525D" w:rsidRPr="008D58AE" w:rsidRDefault="005479BE" w:rsidP="008528C2">
      <w:pPr>
        <w:spacing w:before="40" w:after="40"/>
        <w:jc w:val="both"/>
        <w:rPr>
          <w:rFonts w:ascii="Times New Roman" w:hAnsi="Times New Roman" w:cs="Times New Roman"/>
          <w:sz w:val="22"/>
          <w:szCs w:val="22"/>
        </w:rPr>
      </w:pPr>
      <w:r>
        <w:rPr>
          <w:rFonts w:ascii="Times New Roman" w:hAnsi="Times New Roman" w:cs="Times New Roman"/>
          <w:sz w:val="22"/>
          <w:szCs w:val="22"/>
        </w:rPr>
        <w:t>2. Les quantités indiquées sont données à titre indicatif : conformément à l’article 2.3 du CCTP, le candidat est réputé avoir pris connaissance des lieux, du carnet de plans et de la consistance exacte des travaux (relevé des cotes sur place à la charge du titulaire, exécution sur mesure) et vérifié les quantités sous sa seule responsabilité avant remise de son offre (marché à prix global et forfaitaire</w:t>
      </w:r>
      <w:r w:rsidR="00713E50">
        <w:rPr>
          <w:rFonts w:ascii="Times New Roman" w:hAnsi="Times New Roman" w:cs="Times New Roman"/>
          <w:sz w:val="22"/>
          <w:szCs w:val="22"/>
        </w:rPr>
        <w:t>).</w:t>
      </w:r>
    </w:p>
    <w:p w14:paraId="2E55D6AA" w14:textId="77777777" w:rsidR="0045525D" w:rsidRPr="008D58AE" w:rsidRDefault="005479BE" w:rsidP="008528C2">
      <w:pPr>
        <w:spacing w:before="40" w:after="40"/>
        <w:jc w:val="both"/>
        <w:rPr>
          <w:rFonts w:ascii="Times New Roman" w:hAnsi="Times New Roman" w:cs="Times New Roman"/>
          <w:sz w:val="22"/>
          <w:szCs w:val="22"/>
        </w:rPr>
      </w:pPr>
      <w:r>
        <w:rPr>
          <w:rFonts w:ascii="Times New Roman" w:hAnsi="Times New Roman" w:cs="Times New Roman"/>
          <w:sz w:val="22"/>
          <w:szCs w:val="22"/>
        </w:rPr>
        <w:t>3. Chaque prix intègre : les études, calculs et plans d’exécution soumis au visa du maître d’œuvre et du contrôleur technique, les fiches techniques et procès-verbaux (classements feu, acoustiques, UPEC, réaction au feu), les échantillons et surfaces témoins, la main-d’œuvre, les fournitures, échafaudages et moyens d’accès, les essais, les retouches, la protection des ouvrages finis, la gestion et l’évacuation des déchets en filières agréées avec bordereaux de suivi (BSD) et document SOGED, ainsi que les sujétions liées au site militaire (accès, contrôles, horaires, consignes de sûreté du Quartier Brun).</w:t>
      </w:r>
    </w:p>
    <w:p w14:paraId="2E190E14" w14:textId="27ADDD1A" w:rsidR="0045525D" w:rsidRDefault="005479BE" w:rsidP="008528C2">
      <w:pPr>
        <w:spacing w:before="40" w:after="40"/>
        <w:jc w:val="both"/>
        <w:rPr>
          <w:rFonts w:ascii="Times New Roman" w:hAnsi="Times New Roman" w:cs="Times New Roman"/>
          <w:sz w:val="22"/>
          <w:szCs w:val="22"/>
        </w:rPr>
      </w:pPr>
      <w:r>
        <w:rPr>
          <w:rFonts w:ascii="Times New Roman" w:hAnsi="Times New Roman" w:cs="Times New Roman"/>
          <w:sz w:val="22"/>
          <w:szCs w:val="22"/>
        </w:rPr>
        <w:t>4. En cas de discordance entre plans et descriptif, la solution la plus onéreuse est réputée incluse dans les prix (article 2.3 du CCTP). Le titulaire intervient immédiatement après le gros œuvre ; coordination impérative avec le lot n°3 (technique) pour les réservations, gaines techniques, fourreaux, renforts et passages. Les produits de peinture seront de classe A+ (émissions COV) ; la partie neuve (extension) est soumise à la RE2020.</w:t>
      </w:r>
    </w:p>
    <w:p w14:paraId="5407F40E" w14:textId="77777777" w:rsidR="009219A8" w:rsidRPr="008D58AE" w:rsidRDefault="009219A8" w:rsidP="008528C2">
      <w:pPr>
        <w:spacing w:before="40" w:after="40"/>
        <w:jc w:val="both"/>
        <w:rPr>
          <w:rFonts w:ascii="Times New Roman" w:hAnsi="Times New Roman" w:cs="Times New Roman"/>
          <w:sz w:val="22"/>
          <w:szCs w:val="22"/>
        </w:rPr>
      </w:pPr>
    </w:p>
    <w:p w14:paraId="123DD256" w14:textId="77777777" w:rsidR="0045525D" w:rsidRPr="008D58AE" w:rsidRDefault="0045525D">
      <w:pPr>
        <w:rPr>
          <w:rFonts w:ascii="Times New Roman" w:hAnsi="Times New Roman" w:cs="Times New Roman"/>
        </w:rPr>
      </w:pPr>
    </w:p>
    <w:p w14:paraId="68BAE224" w14:textId="77777777" w:rsidR="0045525D" w:rsidRPr="008D58AE" w:rsidRDefault="005479BE">
      <w:pPr>
        <w:spacing w:before="40" w:after="60"/>
        <w:jc w:val="center"/>
        <w:rPr>
          <w:rFonts w:ascii="Times New Roman" w:hAnsi="Times New Roman" w:cs="Times New Roman"/>
        </w:rPr>
      </w:pPr>
      <w:r>
        <w:rPr>
          <w:rFonts w:ascii="Times New Roman" w:hAnsi="Times New Roman" w:cs="Times New Roman"/>
          <w:b/>
          <w:bCs/>
          <w:sz w:val="24"/>
          <w:szCs w:val="24"/>
        </w:rPr>
        <w:lastRenderedPageBreak/>
        <w:t>DEVIS DESCRIPTIF ET ESTIMATIF DÉTAILLÉ (D.D.E.D.)</w:t>
      </w:r>
    </w:p>
    <w:p w14:paraId="6482620E" w14:textId="317C65AC" w:rsidR="0045525D" w:rsidRPr="008D58AE" w:rsidRDefault="005479BE">
      <w:pPr>
        <w:spacing w:before="40" w:after="160"/>
        <w:jc w:val="center"/>
        <w:rPr>
          <w:rFonts w:ascii="Times New Roman" w:hAnsi="Times New Roman" w:cs="Times New Roman"/>
        </w:rPr>
      </w:pPr>
      <w:r>
        <w:rPr>
          <w:rFonts w:ascii="Times New Roman" w:hAnsi="Times New Roman" w:cs="Times New Roman"/>
          <w:b/>
          <w:bCs/>
          <w:sz w:val="20"/>
          <w:szCs w:val="20"/>
        </w:rPr>
        <w:t>LOT N° 02 : SEC</w:t>
      </w:r>
      <w:r w:rsidR="00136509">
        <w:rPr>
          <w:rFonts w:ascii="Times New Roman" w:hAnsi="Times New Roman" w:cs="Times New Roman"/>
          <w:b/>
          <w:bCs/>
          <w:sz w:val="20"/>
          <w:szCs w:val="20"/>
        </w:rPr>
        <w:t>OND-ŒUVRE</w:t>
      </w: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50"/>
        <w:gridCol w:w="5016"/>
        <w:gridCol w:w="800"/>
        <w:gridCol w:w="900"/>
        <w:gridCol w:w="1200"/>
        <w:gridCol w:w="1400"/>
      </w:tblGrid>
      <w:tr w:rsidR="0045525D" w:rsidRPr="008D58AE" w14:paraId="3D6A062C" w14:textId="77777777">
        <w:trPr>
          <w:tblHeader/>
        </w:trPr>
        <w:tc>
          <w:tcPr>
            <w:tcW w:w="1150" w:type="dxa"/>
            <w:shd w:val="clear" w:color="auto" w:fill="D9D9D9"/>
            <w:tcMar>
              <w:top w:w="40" w:type="dxa"/>
              <w:left w:w="80" w:type="dxa"/>
              <w:bottom w:w="40" w:type="dxa"/>
              <w:right w:w="80" w:type="dxa"/>
            </w:tcMar>
            <w:vAlign w:val="center"/>
          </w:tcPr>
          <w:p w14:paraId="78F8B143"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b/>
                <w:bCs/>
              </w:rPr>
              <w:t>Réf. CCTP</w:t>
            </w:r>
          </w:p>
        </w:tc>
        <w:tc>
          <w:tcPr>
            <w:tcW w:w="5016" w:type="dxa"/>
            <w:shd w:val="clear" w:color="auto" w:fill="D9D9D9"/>
            <w:tcMar>
              <w:top w:w="40" w:type="dxa"/>
              <w:left w:w="80" w:type="dxa"/>
              <w:bottom w:w="40" w:type="dxa"/>
              <w:right w:w="80" w:type="dxa"/>
            </w:tcMar>
            <w:vAlign w:val="center"/>
          </w:tcPr>
          <w:p w14:paraId="77B5530B"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b/>
                <w:bCs/>
              </w:rPr>
              <w:t>Désignation des ouvrages</w:t>
            </w:r>
          </w:p>
        </w:tc>
        <w:tc>
          <w:tcPr>
            <w:tcW w:w="800" w:type="dxa"/>
            <w:shd w:val="clear" w:color="auto" w:fill="D9D9D9"/>
            <w:tcMar>
              <w:top w:w="40" w:type="dxa"/>
              <w:left w:w="80" w:type="dxa"/>
              <w:bottom w:w="40" w:type="dxa"/>
              <w:right w:w="80" w:type="dxa"/>
            </w:tcMar>
            <w:vAlign w:val="center"/>
          </w:tcPr>
          <w:p w14:paraId="023FC902"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b/>
                <w:bCs/>
              </w:rPr>
              <w:t>Unité</w:t>
            </w:r>
          </w:p>
        </w:tc>
        <w:tc>
          <w:tcPr>
            <w:tcW w:w="900" w:type="dxa"/>
            <w:shd w:val="clear" w:color="auto" w:fill="D9D9D9"/>
            <w:tcMar>
              <w:top w:w="40" w:type="dxa"/>
              <w:left w:w="80" w:type="dxa"/>
              <w:bottom w:w="40" w:type="dxa"/>
              <w:right w:w="80" w:type="dxa"/>
            </w:tcMar>
            <w:vAlign w:val="center"/>
          </w:tcPr>
          <w:p w14:paraId="640EF684" w14:textId="344854D6" w:rsidR="0045525D" w:rsidRPr="008D58AE" w:rsidRDefault="005479BE">
            <w:pPr>
              <w:spacing w:before="40" w:after="40"/>
              <w:jc w:val="center"/>
              <w:rPr>
                <w:rFonts w:ascii="Times New Roman" w:hAnsi="Times New Roman" w:cs="Times New Roman"/>
              </w:rPr>
            </w:pPr>
            <w:r>
              <w:rPr>
                <w:rFonts w:ascii="Times New Roman" w:hAnsi="Times New Roman" w:cs="Times New Roman"/>
                <w:b/>
                <w:bCs/>
              </w:rPr>
              <w:t>Quantité</w:t>
            </w:r>
            <w:r w:rsidR="00713E50">
              <w:rPr>
                <w:rFonts w:ascii="Times New Roman" w:hAnsi="Times New Roman" w:cs="Times New Roman"/>
                <w:b/>
                <w:bCs/>
              </w:rPr>
              <w:t xml:space="preserve"> </w:t>
            </w:r>
          </w:p>
        </w:tc>
        <w:tc>
          <w:tcPr>
            <w:tcW w:w="1200" w:type="dxa"/>
            <w:shd w:val="clear" w:color="auto" w:fill="D9D9D9"/>
            <w:tcMar>
              <w:top w:w="40" w:type="dxa"/>
              <w:left w:w="80" w:type="dxa"/>
              <w:bottom w:w="40" w:type="dxa"/>
              <w:right w:w="80" w:type="dxa"/>
            </w:tcMar>
            <w:vAlign w:val="center"/>
          </w:tcPr>
          <w:p w14:paraId="2D1406EA"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b/>
                <w:bCs/>
              </w:rPr>
              <w:t>Prix unitaire € HT</w:t>
            </w:r>
          </w:p>
        </w:tc>
        <w:tc>
          <w:tcPr>
            <w:tcW w:w="1400" w:type="dxa"/>
            <w:shd w:val="clear" w:color="auto" w:fill="D9D9D9"/>
            <w:tcMar>
              <w:top w:w="40" w:type="dxa"/>
              <w:left w:w="80" w:type="dxa"/>
              <w:bottom w:w="40" w:type="dxa"/>
              <w:right w:w="80" w:type="dxa"/>
            </w:tcMar>
            <w:vAlign w:val="center"/>
          </w:tcPr>
          <w:p w14:paraId="745A0B22"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b/>
                <w:bCs/>
              </w:rPr>
              <w:t>Montant total € HT</w:t>
            </w:r>
          </w:p>
        </w:tc>
      </w:tr>
      <w:tr w:rsidR="0045525D" w:rsidRPr="008D58AE" w14:paraId="4AA9CA9A" w14:textId="77777777">
        <w:tc>
          <w:tcPr>
            <w:tcW w:w="10466" w:type="dxa"/>
            <w:gridSpan w:val="6"/>
            <w:shd w:val="clear" w:color="auto" w:fill="A6A6A6"/>
            <w:tcMar>
              <w:top w:w="40" w:type="dxa"/>
              <w:left w:w="80" w:type="dxa"/>
              <w:bottom w:w="40" w:type="dxa"/>
              <w:right w:w="80" w:type="dxa"/>
            </w:tcMar>
            <w:vAlign w:val="center"/>
          </w:tcPr>
          <w:p w14:paraId="277B9257" w14:textId="77777777" w:rsidR="0045525D" w:rsidRPr="008D58AE" w:rsidRDefault="005479BE">
            <w:pPr>
              <w:spacing w:before="40" w:after="40"/>
              <w:rPr>
                <w:rFonts w:ascii="Times New Roman" w:hAnsi="Times New Roman" w:cs="Times New Roman"/>
              </w:rPr>
            </w:pPr>
            <w:r>
              <w:rPr>
                <w:rFonts w:ascii="Times New Roman" w:hAnsi="Times New Roman" w:cs="Times New Roman"/>
                <w:b/>
                <w:bCs/>
                <w:sz w:val="22"/>
                <w:szCs w:val="22"/>
              </w:rPr>
              <w:t>SECTION TECHNIQUE N° 1 – ISOLATION, PLÂTRERIE, PLAFONDS, PEINTURE, MENUISERIES INTÉRIEURES</w:t>
            </w:r>
          </w:p>
        </w:tc>
      </w:tr>
      <w:tr w:rsidR="0045525D" w:rsidRPr="008D58AE" w14:paraId="7DB4CE38" w14:textId="77777777">
        <w:tc>
          <w:tcPr>
            <w:tcW w:w="10466" w:type="dxa"/>
            <w:gridSpan w:val="6"/>
            <w:shd w:val="clear" w:color="auto" w:fill="BFBFBF"/>
            <w:tcMar>
              <w:top w:w="40" w:type="dxa"/>
              <w:left w:w="80" w:type="dxa"/>
              <w:bottom w:w="40" w:type="dxa"/>
              <w:right w:w="80" w:type="dxa"/>
            </w:tcMar>
            <w:vAlign w:val="center"/>
          </w:tcPr>
          <w:p w14:paraId="6ECE5C38" w14:textId="77777777" w:rsidR="0045525D" w:rsidRPr="008D58AE" w:rsidRDefault="005479BE">
            <w:pPr>
              <w:spacing w:before="40" w:after="40"/>
              <w:rPr>
                <w:rFonts w:ascii="Times New Roman" w:hAnsi="Times New Roman" w:cs="Times New Roman"/>
              </w:rPr>
            </w:pPr>
            <w:r>
              <w:rPr>
                <w:rFonts w:ascii="Times New Roman" w:hAnsi="Times New Roman" w:cs="Times New Roman"/>
                <w:b/>
                <w:bCs/>
                <w:sz w:val="20"/>
                <w:szCs w:val="20"/>
              </w:rPr>
              <w:t>1.1 – Isolation thermique intérieure (CCTP § 3.1.1)</w:t>
            </w:r>
          </w:p>
        </w:tc>
      </w:tr>
      <w:tr w:rsidR="0045525D" w:rsidRPr="008D58AE" w14:paraId="437B0FFB" w14:textId="77777777">
        <w:tc>
          <w:tcPr>
            <w:tcW w:w="1150" w:type="dxa"/>
            <w:tcMar>
              <w:top w:w="40" w:type="dxa"/>
              <w:left w:w="80" w:type="dxa"/>
              <w:bottom w:w="40" w:type="dxa"/>
              <w:right w:w="80" w:type="dxa"/>
            </w:tcMar>
            <w:vAlign w:val="center"/>
          </w:tcPr>
          <w:p w14:paraId="1C58408B"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3.1.1.1</w:t>
            </w:r>
          </w:p>
        </w:tc>
        <w:tc>
          <w:tcPr>
            <w:tcW w:w="5016" w:type="dxa"/>
            <w:tcMar>
              <w:top w:w="40" w:type="dxa"/>
              <w:left w:w="80" w:type="dxa"/>
              <w:bottom w:w="40" w:type="dxa"/>
              <w:right w:w="80" w:type="dxa"/>
            </w:tcMar>
            <w:vAlign w:val="center"/>
          </w:tcPr>
          <w:p w14:paraId="00B0D444"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1.1.1 – Doublage isolant des murs périphériques – bâtiment 87 corps principal</w:t>
            </w:r>
          </w:p>
          <w:p w14:paraId="1ACBD7EC"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Complexe de doublage sur ossature métallique galvanisée (rails et montants) : laine de roche semi-rigide ép. 160 mm (Euroclasse A1 ou A2-s1,d0), parement plaques de plâtre BA13, résistance thermique R ≥ 4,50 m².K/W (ou valeur supérieure de l’étude thermique). Y compris découpes, ajustements, traitement des ponts thermiques, des ébrasements de fenêtres et raccords aux menuiseries extérieures, jonctions planchers/plafonds/cloisons, sujétions de passage des réseaux, continuité de l’étanchéité à l’air (périphérie des baies, joints, seuils, appuis, en sol), fixations, accessoires et renforts. Doublage des murs en pierre en périphérie intérieure, RDC et étage, toutes façades, y compris dans les faux plafonds, après préparation des supports.</w:t>
            </w:r>
          </w:p>
        </w:tc>
        <w:tc>
          <w:tcPr>
            <w:tcW w:w="800" w:type="dxa"/>
            <w:tcMar>
              <w:top w:w="40" w:type="dxa"/>
              <w:left w:w="80" w:type="dxa"/>
              <w:bottom w:w="40" w:type="dxa"/>
              <w:right w:w="80" w:type="dxa"/>
            </w:tcMar>
            <w:vAlign w:val="center"/>
          </w:tcPr>
          <w:p w14:paraId="19273A73"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10FA1839"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657FF4A5"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78D94D65" w14:textId="77777777" w:rsidR="0045525D" w:rsidRPr="008D58AE" w:rsidRDefault="0045525D">
            <w:pPr>
              <w:spacing w:before="40" w:after="40"/>
              <w:rPr>
                <w:rFonts w:ascii="Times New Roman" w:hAnsi="Times New Roman" w:cs="Times New Roman"/>
              </w:rPr>
            </w:pPr>
          </w:p>
        </w:tc>
      </w:tr>
      <w:tr w:rsidR="0045525D" w:rsidRPr="008D58AE" w14:paraId="0213CB5E" w14:textId="77777777">
        <w:tc>
          <w:tcPr>
            <w:tcW w:w="1150" w:type="dxa"/>
            <w:tcMar>
              <w:top w:w="40" w:type="dxa"/>
              <w:left w:w="80" w:type="dxa"/>
              <w:bottom w:w="40" w:type="dxa"/>
              <w:right w:w="80" w:type="dxa"/>
            </w:tcMar>
            <w:vAlign w:val="center"/>
          </w:tcPr>
          <w:p w14:paraId="6320E66D"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3.1.1.2</w:t>
            </w:r>
          </w:p>
        </w:tc>
        <w:tc>
          <w:tcPr>
            <w:tcW w:w="5016" w:type="dxa"/>
            <w:tcMar>
              <w:top w:w="40" w:type="dxa"/>
              <w:left w:w="80" w:type="dxa"/>
              <w:bottom w:w="40" w:type="dxa"/>
              <w:right w:w="80" w:type="dxa"/>
            </w:tcMar>
            <w:vAlign w:val="center"/>
          </w:tcPr>
          <w:p w14:paraId="0034C010"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1.1.2 – Doublage isolant hydrofuge – bâtiment 87 extension (RDC et R+1)</w:t>
            </w:r>
          </w:p>
          <w:p w14:paraId="02B8DED6"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Idem article 1.1.1 avec plus-value pour plaques de plâtre hydrofuges dans la partie extension : protection contre l’humidité en pied par U plastique posé sur double cordon de mastic d’étanchéité, ensemble des joints et raccords entre parois verticales et plafonds, parfaite étanchéité à l’air (périphérie des baies, joints de dilatation, seuils, appuis, en sol).</w:t>
            </w:r>
          </w:p>
        </w:tc>
        <w:tc>
          <w:tcPr>
            <w:tcW w:w="800" w:type="dxa"/>
            <w:tcMar>
              <w:top w:w="40" w:type="dxa"/>
              <w:left w:w="80" w:type="dxa"/>
              <w:bottom w:w="40" w:type="dxa"/>
              <w:right w:w="80" w:type="dxa"/>
            </w:tcMar>
            <w:vAlign w:val="center"/>
          </w:tcPr>
          <w:p w14:paraId="094973FD"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61F37442"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53BFED3E"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04FD3CD8" w14:textId="77777777" w:rsidR="0045525D" w:rsidRPr="008D58AE" w:rsidRDefault="0045525D">
            <w:pPr>
              <w:spacing w:before="40" w:after="40"/>
              <w:rPr>
                <w:rFonts w:ascii="Times New Roman" w:hAnsi="Times New Roman" w:cs="Times New Roman"/>
              </w:rPr>
            </w:pPr>
          </w:p>
        </w:tc>
      </w:tr>
      <w:tr w:rsidR="0045525D" w:rsidRPr="008D58AE" w14:paraId="362BC871" w14:textId="77777777">
        <w:tc>
          <w:tcPr>
            <w:tcW w:w="1150" w:type="dxa"/>
            <w:tcMar>
              <w:top w:w="40" w:type="dxa"/>
              <w:left w:w="80" w:type="dxa"/>
              <w:bottom w:w="40" w:type="dxa"/>
              <w:right w:w="80" w:type="dxa"/>
            </w:tcMar>
            <w:vAlign w:val="center"/>
          </w:tcPr>
          <w:p w14:paraId="4C6D7EA9"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3.1.1.3</w:t>
            </w:r>
          </w:p>
        </w:tc>
        <w:tc>
          <w:tcPr>
            <w:tcW w:w="5016" w:type="dxa"/>
            <w:tcMar>
              <w:top w:w="40" w:type="dxa"/>
              <w:left w:w="80" w:type="dxa"/>
              <w:bottom w:w="40" w:type="dxa"/>
              <w:right w:w="80" w:type="dxa"/>
            </w:tcMar>
            <w:vAlign w:val="center"/>
          </w:tcPr>
          <w:p w14:paraId="1FA0E500"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1.1.3 – Doublage isolant coupe-feu – local technique sous-station bât. 87</w:t>
            </w:r>
          </w:p>
          <w:p w14:paraId="7A7E060A"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Idem article 1.1.1 avec plus-value pour fourniture et pose de plaques de plâtre coupe-feu.</w:t>
            </w:r>
          </w:p>
        </w:tc>
        <w:tc>
          <w:tcPr>
            <w:tcW w:w="800" w:type="dxa"/>
            <w:tcMar>
              <w:top w:w="40" w:type="dxa"/>
              <w:left w:w="80" w:type="dxa"/>
              <w:bottom w:w="40" w:type="dxa"/>
              <w:right w:w="80" w:type="dxa"/>
            </w:tcMar>
            <w:vAlign w:val="center"/>
          </w:tcPr>
          <w:p w14:paraId="4FBAB40E"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489A51D4"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63421C90"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7A4EA563" w14:textId="77777777" w:rsidR="0045525D" w:rsidRPr="008D58AE" w:rsidRDefault="0045525D">
            <w:pPr>
              <w:spacing w:before="40" w:after="40"/>
              <w:rPr>
                <w:rFonts w:ascii="Times New Roman" w:hAnsi="Times New Roman" w:cs="Times New Roman"/>
              </w:rPr>
            </w:pPr>
          </w:p>
        </w:tc>
      </w:tr>
      <w:tr w:rsidR="0045525D" w:rsidRPr="008D58AE" w14:paraId="7300B4C6" w14:textId="77777777">
        <w:tc>
          <w:tcPr>
            <w:tcW w:w="10466" w:type="dxa"/>
            <w:gridSpan w:val="6"/>
            <w:shd w:val="clear" w:color="auto" w:fill="BFBFBF"/>
            <w:tcMar>
              <w:top w:w="40" w:type="dxa"/>
              <w:left w:w="80" w:type="dxa"/>
              <w:bottom w:w="40" w:type="dxa"/>
              <w:right w:w="80" w:type="dxa"/>
            </w:tcMar>
            <w:vAlign w:val="center"/>
          </w:tcPr>
          <w:p w14:paraId="48B56C18"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sz w:val="20"/>
                <w:szCs w:val="20"/>
              </w:rPr>
              <w:t>1.2 – Plâtrerie (CCTP § 3.1.2)</w:t>
            </w:r>
          </w:p>
        </w:tc>
      </w:tr>
      <w:tr w:rsidR="0045525D" w:rsidRPr="008D58AE" w14:paraId="7F11B8A3" w14:textId="77777777">
        <w:tc>
          <w:tcPr>
            <w:tcW w:w="1150" w:type="dxa"/>
            <w:tcMar>
              <w:top w:w="40" w:type="dxa"/>
              <w:left w:w="80" w:type="dxa"/>
              <w:bottom w:w="40" w:type="dxa"/>
              <w:right w:w="80" w:type="dxa"/>
            </w:tcMar>
            <w:vAlign w:val="center"/>
          </w:tcPr>
          <w:p w14:paraId="7D240AE2"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3.1.2.1</w:t>
            </w:r>
          </w:p>
        </w:tc>
        <w:tc>
          <w:tcPr>
            <w:tcW w:w="5016" w:type="dxa"/>
            <w:tcMar>
              <w:top w:w="40" w:type="dxa"/>
              <w:left w:w="80" w:type="dxa"/>
              <w:bottom w:w="40" w:type="dxa"/>
              <w:right w:w="80" w:type="dxa"/>
            </w:tcMar>
            <w:vAlign w:val="center"/>
          </w:tcPr>
          <w:p w14:paraId="6AC28326"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1.2.1 – Cloisons de distribution en locaux humides – ép. finie 100 mm</w:t>
            </w:r>
          </w:p>
          <w:p w14:paraId="432E3D2B"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Cloisons type Placostil ou techniquement équivalent : ossature métallique galvanisée rails et montants 70 mm, laine minérale semi-rigide 75 mm continue dans toute l’épaisseur, parement plaques hydrofuges type H1 sur chaque face ; bandes, enduits et traitements adaptés aux locaux humides, renforts pour équipements, réservations réseaux, découpes et raccordements, conformité NF DTU 25.41 et exigences du bureau de contrôle. Localisation : bât. 87 toute la partie extension (locaux humides RDC et R+1) ; bât. H les sept pièces humides objet de la rénovation.</w:t>
            </w:r>
          </w:p>
        </w:tc>
        <w:tc>
          <w:tcPr>
            <w:tcW w:w="800" w:type="dxa"/>
            <w:tcMar>
              <w:top w:w="40" w:type="dxa"/>
              <w:left w:w="80" w:type="dxa"/>
              <w:bottom w:w="40" w:type="dxa"/>
              <w:right w:w="80" w:type="dxa"/>
            </w:tcMar>
            <w:vAlign w:val="center"/>
          </w:tcPr>
          <w:p w14:paraId="5FED77D5"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341AFEB8"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0AAAB89B"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5278CB07" w14:textId="77777777" w:rsidR="0045525D" w:rsidRPr="008D58AE" w:rsidRDefault="0045525D">
            <w:pPr>
              <w:spacing w:before="40" w:after="40"/>
              <w:rPr>
                <w:rFonts w:ascii="Times New Roman" w:hAnsi="Times New Roman" w:cs="Times New Roman"/>
              </w:rPr>
            </w:pPr>
          </w:p>
        </w:tc>
      </w:tr>
      <w:tr w:rsidR="0045525D" w:rsidRPr="008D58AE" w14:paraId="091AC921" w14:textId="77777777">
        <w:tc>
          <w:tcPr>
            <w:tcW w:w="1150" w:type="dxa"/>
            <w:tcMar>
              <w:top w:w="40" w:type="dxa"/>
              <w:left w:w="80" w:type="dxa"/>
              <w:bottom w:w="40" w:type="dxa"/>
              <w:right w:w="80" w:type="dxa"/>
            </w:tcMar>
            <w:vAlign w:val="center"/>
          </w:tcPr>
          <w:p w14:paraId="65E53109"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3.1.2.2</w:t>
            </w:r>
          </w:p>
        </w:tc>
        <w:tc>
          <w:tcPr>
            <w:tcW w:w="5016" w:type="dxa"/>
            <w:tcMar>
              <w:top w:w="40" w:type="dxa"/>
              <w:left w:w="80" w:type="dxa"/>
              <w:bottom w:w="40" w:type="dxa"/>
              <w:right w:w="80" w:type="dxa"/>
            </w:tcMar>
            <w:vAlign w:val="center"/>
          </w:tcPr>
          <w:p w14:paraId="24970ECC"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1.2.2 – Cloisons de distribution coupe-feu EI 120</w:t>
            </w:r>
          </w:p>
          <w:p w14:paraId="521F6A7F"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Système complet type Placostil ou équivalent sous PV de classement feu en cours de validité : ossature renforcée adaptée à la hauteur, laine de roche haute densité, plaques coupe-feu type DF en nombre et épaisseur nécessaires à l’EI 120, raccordements aux ouvrages adjacents, traitement coupe-feu des traversées de réseaux, calfeutrements, justificatifs fournis. Localisation bât. 87 : local de stockage de l’extension, future sous-station / local DIRISI (actuelle chaufferie), cloisonnement de l’escalier principal intérieur jusqu’aux combles.</w:t>
            </w:r>
          </w:p>
        </w:tc>
        <w:tc>
          <w:tcPr>
            <w:tcW w:w="800" w:type="dxa"/>
            <w:tcMar>
              <w:top w:w="40" w:type="dxa"/>
              <w:left w:w="80" w:type="dxa"/>
              <w:bottom w:w="40" w:type="dxa"/>
              <w:right w:w="80" w:type="dxa"/>
            </w:tcMar>
            <w:vAlign w:val="center"/>
          </w:tcPr>
          <w:p w14:paraId="1A45616E"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72B783E3"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054B8DE2"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3E8ED8AA" w14:textId="77777777" w:rsidR="0045525D" w:rsidRPr="008D58AE" w:rsidRDefault="0045525D">
            <w:pPr>
              <w:spacing w:before="40" w:after="40"/>
              <w:rPr>
                <w:rFonts w:ascii="Times New Roman" w:hAnsi="Times New Roman" w:cs="Times New Roman"/>
              </w:rPr>
            </w:pPr>
          </w:p>
        </w:tc>
      </w:tr>
      <w:tr w:rsidR="0045525D" w:rsidRPr="008D58AE" w14:paraId="14C00DD8" w14:textId="77777777">
        <w:tc>
          <w:tcPr>
            <w:tcW w:w="1150" w:type="dxa"/>
            <w:tcMar>
              <w:top w:w="40" w:type="dxa"/>
              <w:left w:w="80" w:type="dxa"/>
              <w:bottom w:w="40" w:type="dxa"/>
              <w:right w:w="80" w:type="dxa"/>
            </w:tcMar>
            <w:vAlign w:val="center"/>
          </w:tcPr>
          <w:p w14:paraId="63A2A285"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3.1.2.3</w:t>
            </w:r>
          </w:p>
        </w:tc>
        <w:tc>
          <w:tcPr>
            <w:tcW w:w="5016" w:type="dxa"/>
            <w:tcMar>
              <w:top w:w="40" w:type="dxa"/>
              <w:left w:w="80" w:type="dxa"/>
              <w:bottom w:w="40" w:type="dxa"/>
              <w:right w:w="80" w:type="dxa"/>
            </w:tcMar>
            <w:vAlign w:val="center"/>
          </w:tcPr>
          <w:p w14:paraId="7141B69C"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1.2.3 – Doublage coupe-feu EI 120 sur murs périphériques</w:t>
            </w:r>
          </w:p>
          <w:p w14:paraId="010766E7"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Système complet type Placostil ou équivalent sous PV : ossature métallique galvanisée, laine de roche semi-rigide ou haute densité, plaques coupe-feu type DF en nombre et épaisseur nécessaires (EI 120 minimum ou exigence supérieure de la notice de sécurité / bureau de contrôle), traitement des angles, tableaux et points singuliers, traversées de réseaux, calfeutrements coupe-feu. Localisation : bât. H futur local sous-station (actuel magasin 011) ; bât. 87 future sous-station (actuelle chaufferie) et deux locaux de stockage (sous l’escalier et à côté de la salle de convivialité).</w:t>
            </w:r>
          </w:p>
        </w:tc>
        <w:tc>
          <w:tcPr>
            <w:tcW w:w="800" w:type="dxa"/>
            <w:tcMar>
              <w:top w:w="40" w:type="dxa"/>
              <w:left w:w="80" w:type="dxa"/>
              <w:bottom w:w="40" w:type="dxa"/>
              <w:right w:w="80" w:type="dxa"/>
            </w:tcMar>
            <w:vAlign w:val="center"/>
          </w:tcPr>
          <w:p w14:paraId="14035282"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5E810D9B"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17F3EA7C"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037759E3" w14:textId="77777777" w:rsidR="0045525D" w:rsidRPr="008D58AE" w:rsidRDefault="0045525D">
            <w:pPr>
              <w:spacing w:before="40" w:after="40"/>
              <w:rPr>
                <w:rFonts w:ascii="Times New Roman" w:hAnsi="Times New Roman" w:cs="Times New Roman"/>
              </w:rPr>
            </w:pPr>
          </w:p>
        </w:tc>
      </w:tr>
      <w:tr w:rsidR="0045525D" w:rsidRPr="008D58AE" w14:paraId="58E4E56F" w14:textId="77777777">
        <w:tc>
          <w:tcPr>
            <w:tcW w:w="1150" w:type="dxa"/>
            <w:tcMar>
              <w:top w:w="40" w:type="dxa"/>
              <w:left w:w="80" w:type="dxa"/>
              <w:bottom w:w="40" w:type="dxa"/>
              <w:right w:w="80" w:type="dxa"/>
            </w:tcMar>
            <w:vAlign w:val="center"/>
          </w:tcPr>
          <w:p w14:paraId="26DFC9AC"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3.1.2.4</w:t>
            </w:r>
          </w:p>
        </w:tc>
        <w:tc>
          <w:tcPr>
            <w:tcW w:w="5016" w:type="dxa"/>
            <w:tcMar>
              <w:top w:w="40" w:type="dxa"/>
              <w:left w:w="80" w:type="dxa"/>
              <w:bottom w:w="40" w:type="dxa"/>
              <w:right w:w="80" w:type="dxa"/>
            </w:tcMar>
            <w:vAlign w:val="center"/>
          </w:tcPr>
          <w:p w14:paraId="724899C8"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1.2.4 – Cloisons de distribution standard BA13 – ép. finie 100 mm</w:t>
            </w:r>
          </w:p>
          <w:p w14:paraId="664086BD"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Ossature 70 mm, laine minérale 75 mm continue, parement BA13 chaque face, NF DTU 25.41. Localisation bât. 87 : fermeture des espaces entre bureaux 004-005, 005-009 et 001-006, fermeture des parties vitrées en plénum sur tout le RDC et le R+1 ; bât. H : fermeture des espaces des anciens pavés de verre entre sanitaires et chambres.</w:t>
            </w:r>
          </w:p>
        </w:tc>
        <w:tc>
          <w:tcPr>
            <w:tcW w:w="800" w:type="dxa"/>
            <w:tcMar>
              <w:top w:w="40" w:type="dxa"/>
              <w:left w:w="80" w:type="dxa"/>
              <w:bottom w:w="40" w:type="dxa"/>
              <w:right w:w="80" w:type="dxa"/>
            </w:tcMar>
            <w:vAlign w:val="center"/>
          </w:tcPr>
          <w:p w14:paraId="547DEEE1"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7E420EFE"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47461DA2"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67EBB753" w14:textId="77777777" w:rsidR="0045525D" w:rsidRPr="008D58AE" w:rsidRDefault="0045525D">
            <w:pPr>
              <w:spacing w:before="40" w:after="40"/>
              <w:rPr>
                <w:rFonts w:ascii="Times New Roman" w:hAnsi="Times New Roman" w:cs="Times New Roman"/>
              </w:rPr>
            </w:pPr>
          </w:p>
        </w:tc>
      </w:tr>
      <w:tr w:rsidR="0045525D" w:rsidRPr="008D58AE" w14:paraId="5630897F" w14:textId="77777777">
        <w:tc>
          <w:tcPr>
            <w:tcW w:w="1150" w:type="dxa"/>
            <w:tcMar>
              <w:top w:w="40" w:type="dxa"/>
              <w:left w:w="80" w:type="dxa"/>
              <w:bottom w:w="40" w:type="dxa"/>
              <w:right w:w="80" w:type="dxa"/>
            </w:tcMar>
            <w:vAlign w:val="center"/>
          </w:tcPr>
          <w:p w14:paraId="6042BDF2"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3.1.2.4</w:t>
            </w:r>
          </w:p>
        </w:tc>
        <w:tc>
          <w:tcPr>
            <w:tcW w:w="5016" w:type="dxa"/>
            <w:tcMar>
              <w:top w:w="40" w:type="dxa"/>
              <w:left w:w="80" w:type="dxa"/>
              <w:bottom w:w="40" w:type="dxa"/>
              <w:right w:w="80" w:type="dxa"/>
            </w:tcMar>
            <w:vAlign w:val="center"/>
          </w:tcPr>
          <w:p w14:paraId="7B7DD8F5"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1.2.5 – Gaines techniques en plaques de plâtre</w:t>
            </w:r>
          </w:p>
          <w:p w14:paraId="25F92C5C"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Gaines techniques réalisées en panneaux de plaques de plâtre idem cloison de distribution : plaques hydrofuges dans les pièces humides, plaques coupe-feu dans les locaux techniques et de stockage ; y compris ossatures, isolant, joints et raccordements, en coordination avec le lot n°3.</w:t>
            </w:r>
          </w:p>
        </w:tc>
        <w:tc>
          <w:tcPr>
            <w:tcW w:w="800" w:type="dxa"/>
            <w:tcMar>
              <w:top w:w="40" w:type="dxa"/>
              <w:left w:w="80" w:type="dxa"/>
              <w:bottom w:w="40" w:type="dxa"/>
              <w:right w:w="80" w:type="dxa"/>
            </w:tcMar>
            <w:vAlign w:val="center"/>
          </w:tcPr>
          <w:p w14:paraId="63279AEA" w14:textId="77777777" w:rsidR="0045525D" w:rsidRPr="008D58AE" w:rsidRDefault="000406DB">
            <w:pPr>
              <w:spacing w:before="40" w:after="40"/>
              <w:jc w:val="center"/>
              <w:rPr>
                <w:rFonts w:ascii="Times New Roman" w:hAnsi="Times New Roman" w:cs="Times New Roman"/>
              </w:rPr>
            </w:pPr>
            <w:r>
              <w:rPr>
                <w:rFonts w:ascii="Times New Roman" w:hAnsi="Times New Roman" w:cs="Times New Roman"/>
              </w:rPr>
              <w:t>ENS</w:t>
            </w:r>
          </w:p>
        </w:tc>
        <w:tc>
          <w:tcPr>
            <w:tcW w:w="900" w:type="dxa"/>
            <w:tcMar>
              <w:top w:w="40" w:type="dxa"/>
              <w:left w:w="80" w:type="dxa"/>
              <w:bottom w:w="40" w:type="dxa"/>
              <w:right w:w="80" w:type="dxa"/>
            </w:tcMar>
            <w:vAlign w:val="center"/>
          </w:tcPr>
          <w:p w14:paraId="016EE684"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168E11D3"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634E8426" w14:textId="77777777" w:rsidR="0045525D" w:rsidRPr="008D58AE" w:rsidRDefault="0045525D">
            <w:pPr>
              <w:spacing w:before="40" w:after="40"/>
              <w:rPr>
                <w:rFonts w:ascii="Times New Roman" w:hAnsi="Times New Roman" w:cs="Times New Roman"/>
              </w:rPr>
            </w:pPr>
          </w:p>
        </w:tc>
      </w:tr>
      <w:tr w:rsidR="0045525D" w:rsidRPr="008D58AE" w14:paraId="114C2082" w14:textId="77777777">
        <w:tc>
          <w:tcPr>
            <w:tcW w:w="1150" w:type="dxa"/>
            <w:tcMar>
              <w:top w:w="40" w:type="dxa"/>
              <w:left w:w="80" w:type="dxa"/>
              <w:bottom w:w="40" w:type="dxa"/>
              <w:right w:w="80" w:type="dxa"/>
            </w:tcMar>
            <w:vAlign w:val="center"/>
          </w:tcPr>
          <w:p w14:paraId="1F17ADA6"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3.1.2.5</w:t>
            </w:r>
          </w:p>
        </w:tc>
        <w:tc>
          <w:tcPr>
            <w:tcW w:w="5016" w:type="dxa"/>
            <w:tcMar>
              <w:top w:w="40" w:type="dxa"/>
              <w:left w:w="80" w:type="dxa"/>
              <w:bottom w:w="40" w:type="dxa"/>
              <w:right w:w="80" w:type="dxa"/>
            </w:tcMar>
            <w:vAlign w:val="center"/>
          </w:tcPr>
          <w:p w14:paraId="6A6D6AFB"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1.2.6 – Habillages et coffrages de canalisations</w:t>
            </w:r>
          </w:p>
          <w:p w14:paraId="02AE0970"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Coffrages verticaux et horizontaux sur ossature métallique (cornières, rails et montants M48 minimum) pour dissimuler chutes et collecteurs EU/EV, gaines de ventilation et colonnes non intégrables : parement BA13 (hydrofuge H1 en locaux humides, coupe-feu au droit des parois à exigence feu), bandes, enduits, cornières d’angle, trappes de visite ≥ 300 × 300 mm au droit de chaque organe (degré coupe-feu identique à la paroi si requis), reconstitution intégrale du degré coupe-feu des parois traversées (calfeutrements, manchons, mortiers sous PV), relevés sur site, coordination lot n°3. Bâtiments 87 et H, suivant plans et constat après passage des réseaux.</w:t>
            </w:r>
          </w:p>
        </w:tc>
        <w:tc>
          <w:tcPr>
            <w:tcW w:w="800" w:type="dxa"/>
            <w:tcMar>
              <w:top w:w="40" w:type="dxa"/>
              <w:left w:w="80" w:type="dxa"/>
              <w:bottom w:w="40" w:type="dxa"/>
              <w:right w:w="80" w:type="dxa"/>
            </w:tcMar>
            <w:vAlign w:val="center"/>
          </w:tcPr>
          <w:p w14:paraId="69ACB087" w14:textId="77777777" w:rsidR="0045525D" w:rsidRPr="008D58AE" w:rsidRDefault="000406DB">
            <w:pPr>
              <w:spacing w:before="40" w:after="40"/>
              <w:jc w:val="center"/>
              <w:rPr>
                <w:rFonts w:ascii="Times New Roman" w:hAnsi="Times New Roman" w:cs="Times New Roman"/>
              </w:rPr>
            </w:pPr>
            <w:r>
              <w:rPr>
                <w:rFonts w:ascii="Times New Roman" w:hAnsi="Times New Roman" w:cs="Times New Roman"/>
              </w:rPr>
              <w:t>ENS</w:t>
            </w:r>
          </w:p>
        </w:tc>
        <w:tc>
          <w:tcPr>
            <w:tcW w:w="900" w:type="dxa"/>
            <w:tcMar>
              <w:top w:w="40" w:type="dxa"/>
              <w:left w:w="80" w:type="dxa"/>
              <w:bottom w:w="40" w:type="dxa"/>
              <w:right w:w="80" w:type="dxa"/>
            </w:tcMar>
            <w:vAlign w:val="center"/>
          </w:tcPr>
          <w:p w14:paraId="20FD16A5"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285A7C21"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3258BCB4" w14:textId="77777777" w:rsidR="0045525D" w:rsidRPr="008D58AE" w:rsidRDefault="0045525D">
            <w:pPr>
              <w:spacing w:before="40" w:after="40"/>
              <w:rPr>
                <w:rFonts w:ascii="Times New Roman" w:hAnsi="Times New Roman" w:cs="Times New Roman"/>
              </w:rPr>
            </w:pPr>
          </w:p>
        </w:tc>
      </w:tr>
      <w:tr w:rsidR="0045525D" w:rsidRPr="008D58AE" w14:paraId="27F27318" w14:textId="77777777">
        <w:tc>
          <w:tcPr>
            <w:tcW w:w="1150" w:type="dxa"/>
            <w:tcMar>
              <w:top w:w="40" w:type="dxa"/>
              <w:left w:w="80" w:type="dxa"/>
              <w:bottom w:w="40" w:type="dxa"/>
              <w:right w:w="80" w:type="dxa"/>
            </w:tcMar>
            <w:vAlign w:val="center"/>
          </w:tcPr>
          <w:p w14:paraId="3087C9E8"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3.1.2.6</w:t>
            </w:r>
          </w:p>
        </w:tc>
        <w:tc>
          <w:tcPr>
            <w:tcW w:w="5016" w:type="dxa"/>
            <w:tcMar>
              <w:top w:w="40" w:type="dxa"/>
              <w:left w:w="80" w:type="dxa"/>
              <w:bottom w:w="40" w:type="dxa"/>
              <w:right w:w="80" w:type="dxa"/>
            </w:tcMar>
            <w:vAlign w:val="center"/>
          </w:tcPr>
          <w:p w14:paraId="6459A956"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1.2.7 – Traitement des joints</w:t>
            </w:r>
          </w:p>
          <w:p w14:paraId="5EC24333"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Sur tous les parements en plaques de plâtre (doublages, cloisons, gaines, coffrages, plafonds) conformément au NF DTU 25.41 : garnissage à l’enduit spécial, bandes, première couche d’enduit de finition y compris têtes de vis, bandes armées aux angles saillants, joints de fractionnement (tous les 15 m maxi et au droit des joints de structure), points singuliers, pontage armé ou mastic acrylique aux jonctions de matériaux différents ; état de surface permettant l’application des finitions de la sous-section peinture (la 2e passe d’enduit est due à la sous-section 5).</w:t>
            </w:r>
          </w:p>
        </w:tc>
        <w:tc>
          <w:tcPr>
            <w:tcW w:w="800" w:type="dxa"/>
            <w:tcMar>
              <w:top w:w="40" w:type="dxa"/>
              <w:left w:w="80" w:type="dxa"/>
              <w:bottom w:w="40" w:type="dxa"/>
              <w:right w:w="80" w:type="dxa"/>
            </w:tcMar>
            <w:vAlign w:val="center"/>
          </w:tcPr>
          <w:p w14:paraId="5D98D823" w14:textId="77777777" w:rsidR="0045525D" w:rsidRPr="008D58AE" w:rsidRDefault="000406DB">
            <w:pPr>
              <w:spacing w:before="40" w:after="40"/>
              <w:jc w:val="center"/>
              <w:rPr>
                <w:rFonts w:ascii="Times New Roman" w:hAnsi="Times New Roman" w:cs="Times New Roman"/>
              </w:rPr>
            </w:pPr>
            <w:r>
              <w:rPr>
                <w:rFonts w:ascii="Times New Roman" w:hAnsi="Times New Roman" w:cs="Times New Roman"/>
              </w:rPr>
              <w:t>ENS</w:t>
            </w:r>
          </w:p>
        </w:tc>
        <w:tc>
          <w:tcPr>
            <w:tcW w:w="900" w:type="dxa"/>
            <w:tcMar>
              <w:top w:w="40" w:type="dxa"/>
              <w:left w:w="80" w:type="dxa"/>
              <w:bottom w:w="40" w:type="dxa"/>
              <w:right w:w="80" w:type="dxa"/>
            </w:tcMar>
            <w:vAlign w:val="center"/>
          </w:tcPr>
          <w:p w14:paraId="4BA8A409"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1FA9C7A3"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4F5C6DF0" w14:textId="77777777" w:rsidR="0045525D" w:rsidRPr="008D58AE" w:rsidRDefault="0045525D">
            <w:pPr>
              <w:spacing w:before="40" w:after="40"/>
              <w:rPr>
                <w:rFonts w:ascii="Times New Roman" w:hAnsi="Times New Roman" w:cs="Times New Roman"/>
              </w:rPr>
            </w:pPr>
          </w:p>
        </w:tc>
      </w:tr>
      <w:tr w:rsidR="0045525D" w:rsidRPr="008D58AE" w14:paraId="5052B81B" w14:textId="77777777">
        <w:tc>
          <w:tcPr>
            <w:tcW w:w="1150" w:type="dxa"/>
            <w:tcMar>
              <w:top w:w="40" w:type="dxa"/>
              <w:left w:w="80" w:type="dxa"/>
              <w:bottom w:w="40" w:type="dxa"/>
              <w:right w:w="80" w:type="dxa"/>
            </w:tcMar>
            <w:vAlign w:val="center"/>
          </w:tcPr>
          <w:p w14:paraId="1B363092"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3.1.2.7</w:t>
            </w:r>
          </w:p>
        </w:tc>
        <w:tc>
          <w:tcPr>
            <w:tcW w:w="5016" w:type="dxa"/>
            <w:tcMar>
              <w:top w:w="40" w:type="dxa"/>
              <w:left w:w="80" w:type="dxa"/>
              <w:bottom w:w="40" w:type="dxa"/>
              <w:right w:w="80" w:type="dxa"/>
            </w:tcMar>
            <w:vAlign w:val="center"/>
          </w:tcPr>
          <w:p w14:paraId="08F20425"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1.2.8 – Angles de renfort</w:t>
            </w:r>
          </w:p>
          <w:p w14:paraId="4795AE45"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Protection de tous les angles saillants exposés aux chocs par cornières PVC ou acier galvanisé perforé incorporées à l’enduit, hauteur minimale 2,50 m à compter du sol fini (circulations, dégagements, tableaux, ébrasements, trumeaux, poteaux), posées d’aplomb, noyées en deux passes ; rectitude 2 mm sous la règle de 2 m.</w:t>
            </w:r>
          </w:p>
        </w:tc>
        <w:tc>
          <w:tcPr>
            <w:tcW w:w="800" w:type="dxa"/>
            <w:tcMar>
              <w:top w:w="40" w:type="dxa"/>
              <w:left w:w="80" w:type="dxa"/>
              <w:bottom w:w="40" w:type="dxa"/>
              <w:right w:w="80" w:type="dxa"/>
            </w:tcMar>
            <w:vAlign w:val="center"/>
          </w:tcPr>
          <w:p w14:paraId="544B7B0F"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ml</w:t>
            </w:r>
          </w:p>
        </w:tc>
        <w:tc>
          <w:tcPr>
            <w:tcW w:w="900" w:type="dxa"/>
            <w:tcMar>
              <w:top w:w="40" w:type="dxa"/>
              <w:left w:w="80" w:type="dxa"/>
              <w:bottom w:w="40" w:type="dxa"/>
              <w:right w:w="80" w:type="dxa"/>
            </w:tcMar>
            <w:vAlign w:val="center"/>
          </w:tcPr>
          <w:p w14:paraId="6EBCE129"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5F16E59E"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0C73C4D4" w14:textId="77777777" w:rsidR="0045525D" w:rsidRPr="008D58AE" w:rsidRDefault="0045525D">
            <w:pPr>
              <w:spacing w:before="40" w:after="40"/>
              <w:rPr>
                <w:rFonts w:ascii="Times New Roman" w:hAnsi="Times New Roman" w:cs="Times New Roman"/>
              </w:rPr>
            </w:pPr>
          </w:p>
        </w:tc>
      </w:tr>
      <w:tr w:rsidR="0045525D" w:rsidRPr="008D58AE" w14:paraId="2DA0C956" w14:textId="77777777">
        <w:tc>
          <w:tcPr>
            <w:tcW w:w="1150" w:type="dxa"/>
            <w:tcMar>
              <w:top w:w="40" w:type="dxa"/>
              <w:left w:w="80" w:type="dxa"/>
              <w:bottom w:w="40" w:type="dxa"/>
              <w:right w:w="80" w:type="dxa"/>
            </w:tcMar>
            <w:vAlign w:val="center"/>
          </w:tcPr>
          <w:p w14:paraId="106DBB67"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3.1.2.8</w:t>
            </w:r>
          </w:p>
        </w:tc>
        <w:tc>
          <w:tcPr>
            <w:tcW w:w="5016" w:type="dxa"/>
            <w:tcMar>
              <w:top w:w="40" w:type="dxa"/>
              <w:left w:w="80" w:type="dxa"/>
              <w:bottom w:w="40" w:type="dxa"/>
              <w:right w:w="80" w:type="dxa"/>
            </w:tcMar>
            <w:vAlign w:val="center"/>
          </w:tcPr>
          <w:p w14:paraId="5CBB1EDB"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1.2.9 – Renforts pour fixation des appareils sanitaires et de chauffage</w:t>
            </w:r>
          </w:p>
          <w:p w14:paraId="119B997E"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Renforts dans l’épaisseur des cloisons, doublages et gaines (platines métalliques traversantes, traverses bois classe 2, plaques haute dureté) dimensionnés pour les charges normalisées (400 N en rive de lavabo, 1,7 kN sur barres d’appui PMR) : lavabos, plans vasques, urinoirs, barres PMR, sèche-mains, distributeurs, miroirs, radiateurs, sèche-serviettes, cumulus et préparateurs ECS ; habillage des bâtis-supports WC suspendus en double peau hydrofuge avec tablette et joints ; position et dimensionnement coordonnés avec le lot n°3 avant fermeture, plan de repérage au DOE. Bâtiments 87 et H, ensemble des locaux concernés.</w:t>
            </w:r>
          </w:p>
        </w:tc>
        <w:tc>
          <w:tcPr>
            <w:tcW w:w="800" w:type="dxa"/>
            <w:tcMar>
              <w:top w:w="40" w:type="dxa"/>
              <w:left w:w="80" w:type="dxa"/>
              <w:bottom w:w="40" w:type="dxa"/>
              <w:right w:w="80" w:type="dxa"/>
            </w:tcMar>
            <w:vAlign w:val="center"/>
          </w:tcPr>
          <w:p w14:paraId="195C39C3" w14:textId="77777777" w:rsidR="0045525D" w:rsidRPr="008D58AE" w:rsidRDefault="000406DB">
            <w:pPr>
              <w:spacing w:before="40" w:after="40"/>
              <w:jc w:val="center"/>
              <w:rPr>
                <w:rFonts w:ascii="Times New Roman" w:hAnsi="Times New Roman" w:cs="Times New Roman"/>
              </w:rPr>
            </w:pPr>
            <w:r>
              <w:rPr>
                <w:rFonts w:ascii="Times New Roman" w:hAnsi="Times New Roman" w:cs="Times New Roman"/>
              </w:rPr>
              <w:t>ENS</w:t>
            </w:r>
          </w:p>
        </w:tc>
        <w:tc>
          <w:tcPr>
            <w:tcW w:w="900" w:type="dxa"/>
            <w:tcMar>
              <w:top w:w="40" w:type="dxa"/>
              <w:left w:w="80" w:type="dxa"/>
              <w:bottom w:w="40" w:type="dxa"/>
              <w:right w:w="80" w:type="dxa"/>
            </w:tcMar>
            <w:vAlign w:val="center"/>
          </w:tcPr>
          <w:p w14:paraId="0220B028"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3B12987E"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5370E8D3" w14:textId="77777777" w:rsidR="0045525D" w:rsidRPr="008D58AE" w:rsidRDefault="0045525D">
            <w:pPr>
              <w:spacing w:before="40" w:after="40"/>
              <w:rPr>
                <w:rFonts w:ascii="Times New Roman" w:hAnsi="Times New Roman" w:cs="Times New Roman"/>
              </w:rPr>
            </w:pPr>
          </w:p>
        </w:tc>
      </w:tr>
      <w:tr w:rsidR="0045525D" w:rsidRPr="008D58AE" w14:paraId="3F9F84E7" w14:textId="77777777">
        <w:tc>
          <w:tcPr>
            <w:tcW w:w="10466" w:type="dxa"/>
            <w:gridSpan w:val="6"/>
            <w:shd w:val="clear" w:color="auto" w:fill="BFBFBF"/>
            <w:tcMar>
              <w:top w:w="40" w:type="dxa"/>
              <w:left w:w="80" w:type="dxa"/>
              <w:bottom w:w="40" w:type="dxa"/>
              <w:right w:w="80" w:type="dxa"/>
            </w:tcMar>
            <w:vAlign w:val="center"/>
          </w:tcPr>
          <w:p w14:paraId="0C58A430"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sz w:val="20"/>
                <w:szCs w:val="20"/>
              </w:rPr>
              <w:t>1.3 – Plafonds (CCTP § 3.1.3)</w:t>
            </w:r>
          </w:p>
        </w:tc>
      </w:tr>
      <w:tr w:rsidR="0045525D" w:rsidRPr="008D58AE" w14:paraId="18C4DF3E" w14:textId="77777777">
        <w:tc>
          <w:tcPr>
            <w:tcW w:w="1150" w:type="dxa"/>
            <w:tcMar>
              <w:top w:w="40" w:type="dxa"/>
              <w:left w:w="80" w:type="dxa"/>
              <w:bottom w:w="40" w:type="dxa"/>
              <w:right w:w="80" w:type="dxa"/>
            </w:tcMar>
            <w:vAlign w:val="center"/>
          </w:tcPr>
          <w:p w14:paraId="65BA65FC"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3.1.3.1</w:t>
            </w:r>
          </w:p>
        </w:tc>
        <w:tc>
          <w:tcPr>
            <w:tcW w:w="5016" w:type="dxa"/>
            <w:tcMar>
              <w:top w:w="40" w:type="dxa"/>
              <w:left w:w="80" w:type="dxa"/>
              <w:bottom w:w="40" w:type="dxa"/>
              <w:right w:w="80" w:type="dxa"/>
            </w:tcMar>
            <w:vAlign w:val="center"/>
          </w:tcPr>
          <w:p w14:paraId="3AE76D1B"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1.3.1 – Plafonds coupe-feu en plaques de plâtre</w:t>
            </w:r>
          </w:p>
          <w:p w14:paraId="5B51889D"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Système complet sous PV de classement feu (plaques type Placoflam) : EI 120 pour les locaux sous-stations, EI 60 pour les locaux de stockage (sauf exigence contraire), ossature, suspentes, trappes de visite coupe-feu, traitement des pénétrations et traversées techniques. Localisation bât. 87 : local de stockage de la future extension, sous-station (actuelle chaufferie entière), local sous escalier ; bât. H : futur local sous-station (actuels magasins 011 et 012).</w:t>
            </w:r>
          </w:p>
        </w:tc>
        <w:tc>
          <w:tcPr>
            <w:tcW w:w="800" w:type="dxa"/>
            <w:tcMar>
              <w:top w:w="40" w:type="dxa"/>
              <w:left w:w="80" w:type="dxa"/>
              <w:bottom w:w="40" w:type="dxa"/>
              <w:right w:w="80" w:type="dxa"/>
            </w:tcMar>
            <w:vAlign w:val="center"/>
          </w:tcPr>
          <w:p w14:paraId="61F2C6C6"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39C08EAB"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2B2E0FD0"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2121624D" w14:textId="77777777" w:rsidR="0045525D" w:rsidRPr="008D58AE" w:rsidRDefault="0045525D">
            <w:pPr>
              <w:spacing w:before="40" w:after="40"/>
              <w:rPr>
                <w:rFonts w:ascii="Times New Roman" w:hAnsi="Times New Roman" w:cs="Times New Roman"/>
              </w:rPr>
            </w:pPr>
          </w:p>
        </w:tc>
      </w:tr>
      <w:tr w:rsidR="0045525D" w:rsidRPr="008D58AE" w14:paraId="5157A6B9" w14:textId="77777777">
        <w:tc>
          <w:tcPr>
            <w:tcW w:w="1150" w:type="dxa"/>
            <w:tcMar>
              <w:top w:w="40" w:type="dxa"/>
              <w:left w:w="80" w:type="dxa"/>
              <w:bottom w:w="40" w:type="dxa"/>
              <w:right w:w="80" w:type="dxa"/>
            </w:tcMar>
            <w:vAlign w:val="center"/>
          </w:tcPr>
          <w:p w14:paraId="53B51B00"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3.1.3.2</w:t>
            </w:r>
          </w:p>
        </w:tc>
        <w:tc>
          <w:tcPr>
            <w:tcW w:w="5016" w:type="dxa"/>
            <w:tcMar>
              <w:top w:w="40" w:type="dxa"/>
              <w:left w:w="80" w:type="dxa"/>
              <w:bottom w:w="40" w:type="dxa"/>
              <w:right w:w="80" w:type="dxa"/>
            </w:tcMar>
            <w:vAlign w:val="center"/>
          </w:tcPr>
          <w:p w14:paraId="65D9A1CB"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1.3.2 – Faux plafonds démontables dalles minérales 600 × 600 mm</w:t>
            </w:r>
          </w:p>
          <w:p w14:paraId="6920DDEF"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Ossature métallique apparente (profils porteurs et entretoises), suspentes, cornières périphériques, dalles 600 × 600 blanches à bords adaptés, trappes de visite, découpes et raccordements ; isolation en laine minérale déroulée ép. 240 mm continue au-dessus du faux plafond ; accès aux équipements du plénum garanti ; conformité NF DTU 58.1. Localisation bât. 87 : tous les bureaux et couloirs RDC et R+1 ; bât. H : couloirs RDC et entrées, magasin n° 012.</w:t>
            </w:r>
          </w:p>
        </w:tc>
        <w:tc>
          <w:tcPr>
            <w:tcW w:w="800" w:type="dxa"/>
            <w:tcMar>
              <w:top w:w="40" w:type="dxa"/>
              <w:left w:w="80" w:type="dxa"/>
              <w:bottom w:w="40" w:type="dxa"/>
              <w:right w:w="80" w:type="dxa"/>
            </w:tcMar>
            <w:vAlign w:val="center"/>
          </w:tcPr>
          <w:p w14:paraId="2CEEF6F6"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66850CBD"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1946928B"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437096D8" w14:textId="77777777" w:rsidR="0045525D" w:rsidRPr="008D58AE" w:rsidRDefault="0045525D">
            <w:pPr>
              <w:spacing w:before="40" w:after="40"/>
              <w:rPr>
                <w:rFonts w:ascii="Times New Roman" w:hAnsi="Times New Roman" w:cs="Times New Roman"/>
              </w:rPr>
            </w:pPr>
          </w:p>
        </w:tc>
      </w:tr>
      <w:tr w:rsidR="0045525D" w:rsidRPr="008D58AE" w14:paraId="3F035E29" w14:textId="77777777">
        <w:tc>
          <w:tcPr>
            <w:tcW w:w="1150" w:type="dxa"/>
            <w:tcMar>
              <w:top w:w="40" w:type="dxa"/>
              <w:left w:w="80" w:type="dxa"/>
              <w:bottom w:w="40" w:type="dxa"/>
              <w:right w:w="80" w:type="dxa"/>
            </w:tcMar>
            <w:vAlign w:val="center"/>
          </w:tcPr>
          <w:p w14:paraId="2AA3E146"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3.1.3.3</w:t>
            </w:r>
          </w:p>
        </w:tc>
        <w:tc>
          <w:tcPr>
            <w:tcW w:w="5016" w:type="dxa"/>
            <w:tcMar>
              <w:top w:w="40" w:type="dxa"/>
              <w:left w:w="80" w:type="dxa"/>
              <w:bottom w:w="40" w:type="dxa"/>
              <w:right w:w="80" w:type="dxa"/>
            </w:tcMar>
            <w:vAlign w:val="center"/>
          </w:tcPr>
          <w:p w14:paraId="6C05FAA4"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1.3.3 – Faux plafonds type hygiène dalles 600 × 600 mm</w:t>
            </w:r>
          </w:p>
          <w:p w14:paraId="3C6D58F8"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Ossature profils A24 ou similaires chevillée dans la dalle béton, laquée blanche anticorrosion pour locaux à forte hygrométrie, panneaux forte densité ép. 20 mm minimum, bords scellés, face apparente peinte blanche, αw = 1,00, conformité NF P 68-203-1 et 2 (DTU 58.1) ; isolation laine minérale déroulée ép. 240 mm au-dessus. Localisation bât. 87 : toutes les pièces de la partie extension RDC et R+1 ; bât. H : les sept pièces objet de la rénovation.</w:t>
            </w:r>
          </w:p>
        </w:tc>
        <w:tc>
          <w:tcPr>
            <w:tcW w:w="800" w:type="dxa"/>
            <w:tcMar>
              <w:top w:w="40" w:type="dxa"/>
              <w:left w:w="80" w:type="dxa"/>
              <w:bottom w:w="40" w:type="dxa"/>
              <w:right w:w="80" w:type="dxa"/>
            </w:tcMar>
            <w:vAlign w:val="center"/>
          </w:tcPr>
          <w:p w14:paraId="49FAF171"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3B0D639A"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0BB2E5D6"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692802E1" w14:textId="77777777" w:rsidR="0045525D" w:rsidRPr="008D58AE" w:rsidRDefault="0045525D">
            <w:pPr>
              <w:spacing w:before="40" w:after="40"/>
              <w:rPr>
                <w:rFonts w:ascii="Times New Roman" w:hAnsi="Times New Roman" w:cs="Times New Roman"/>
              </w:rPr>
            </w:pPr>
          </w:p>
        </w:tc>
      </w:tr>
      <w:tr w:rsidR="0045525D" w:rsidRPr="008D58AE" w14:paraId="59D9BCF6" w14:textId="77777777">
        <w:tc>
          <w:tcPr>
            <w:tcW w:w="10466" w:type="dxa"/>
            <w:gridSpan w:val="6"/>
            <w:shd w:val="clear" w:color="auto" w:fill="BFBFBF"/>
            <w:tcMar>
              <w:top w:w="40" w:type="dxa"/>
              <w:left w:w="80" w:type="dxa"/>
              <w:bottom w:w="40" w:type="dxa"/>
              <w:right w:w="80" w:type="dxa"/>
            </w:tcMar>
            <w:vAlign w:val="center"/>
          </w:tcPr>
          <w:p w14:paraId="7F401E5C"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sz w:val="20"/>
                <w:szCs w:val="20"/>
              </w:rPr>
              <w:t>1.4 – Menuiseries intérieures (CCTP § 3.1.4) – relevé contradictoire des dimensions et tableau de menuiseries soumis au visa avant fabrication ; cylindres sur organigramme (3 clés par cylindre + 2 passes par niveau, livrés sous plombage) ; largeur de passage ≥ 0,93 m sur cheminements accessibles, ≥ 0,83 m pour les sanitaires du bât. 87</w:t>
            </w:r>
          </w:p>
        </w:tc>
      </w:tr>
      <w:tr w:rsidR="0045525D" w:rsidRPr="008D58AE" w14:paraId="29965823" w14:textId="77777777">
        <w:tc>
          <w:tcPr>
            <w:tcW w:w="1150" w:type="dxa"/>
            <w:tcMar>
              <w:top w:w="40" w:type="dxa"/>
              <w:left w:w="80" w:type="dxa"/>
              <w:bottom w:w="40" w:type="dxa"/>
              <w:right w:w="80" w:type="dxa"/>
            </w:tcMar>
            <w:vAlign w:val="center"/>
          </w:tcPr>
          <w:p w14:paraId="113307DB"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3.1.4.2</w:t>
            </w:r>
          </w:p>
        </w:tc>
        <w:tc>
          <w:tcPr>
            <w:tcW w:w="5016" w:type="dxa"/>
            <w:tcMar>
              <w:top w:w="40" w:type="dxa"/>
              <w:left w:w="80" w:type="dxa"/>
              <w:bottom w:w="40" w:type="dxa"/>
              <w:right w:w="80" w:type="dxa"/>
            </w:tcMar>
            <w:vAlign w:val="center"/>
          </w:tcPr>
          <w:p w14:paraId="6DC111E8"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1.4.1 – Blocs-portes âme pleine – locaux courants (Rw ≥ 28 dB)</w:t>
            </w:r>
          </w:p>
          <w:p w14:paraId="22D8D7B6"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Blocs-portes 1 vantail 930 ou 830 × 2040 mm : bâti bois avec couvre-joints plats deux faces, vantail âme pleine 40 mm (masse ≥ 25 kg/m²) peint en usine ou stratifié 2 faces au choix du maître d’œuvre, alaises bois dur, joint isophonique 3 côtés, plinthe automatique pour les locaux à exigence acoustique, détalonnage 10 mm, plinthes de renfort inox 8/10e h = 30 cm sur les 2 faces, 3 paumelles réglables mini (4 au-delà de 45 kg), béquilles doubles inox sur rosaces, serrure à mortaiser NF à cylindre européen sur organigramme, butoirs ; Rw ≥ 28 dB pour bureaux, salle de réunion et salle d’instruction (PV fournis). Localisation : bât. 87 RDC tous les bureaux et salle de convivialité ; étage tous les bureaux, salle de réunion, salle d’instruction ; bât. H partie centrale : salle du personnel (002) et locaux courants rénovés.</w:t>
            </w:r>
          </w:p>
        </w:tc>
        <w:tc>
          <w:tcPr>
            <w:tcW w:w="800" w:type="dxa"/>
            <w:tcMar>
              <w:top w:w="40" w:type="dxa"/>
              <w:left w:w="80" w:type="dxa"/>
              <w:bottom w:w="40" w:type="dxa"/>
              <w:right w:w="80" w:type="dxa"/>
            </w:tcMar>
            <w:vAlign w:val="center"/>
          </w:tcPr>
          <w:p w14:paraId="73D82047"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u</w:t>
            </w:r>
          </w:p>
        </w:tc>
        <w:tc>
          <w:tcPr>
            <w:tcW w:w="900" w:type="dxa"/>
            <w:tcMar>
              <w:top w:w="40" w:type="dxa"/>
              <w:left w:w="80" w:type="dxa"/>
              <w:bottom w:w="40" w:type="dxa"/>
              <w:right w:w="80" w:type="dxa"/>
            </w:tcMar>
            <w:vAlign w:val="center"/>
          </w:tcPr>
          <w:p w14:paraId="455B48B7"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5A01774F"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054B01F2" w14:textId="77777777" w:rsidR="0045525D" w:rsidRPr="008D58AE" w:rsidRDefault="0045525D">
            <w:pPr>
              <w:spacing w:before="40" w:after="40"/>
              <w:rPr>
                <w:rFonts w:ascii="Times New Roman" w:hAnsi="Times New Roman" w:cs="Times New Roman"/>
              </w:rPr>
            </w:pPr>
          </w:p>
        </w:tc>
      </w:tr>
      <w:tr w:rsidR="0045525D" w:rsidRPr="008D58AE" w14:paraId="2087820A" w14:textId="77777777">
        <w:tc>
          <w:tcPr>
            <w:tcW w:w="1150" w:type="dxa"/>
            <w:tcMar>
              <w:top w:w="40" w:type="dxa"/>
              <w:left w:w="80" w:type="dxa"/>
              <w:bottom w:w="40" w:type="dxa"/>
              <w:right w:w="80" w:type="dxa"/>
            </w:tcMar>
            <w:vAlign w:val="center"/>
          </w:tcPr>
          <w:p w14:paraId="07C00B8A"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3.1.4.3</w:t>
            </w:r>
          </w:p>
        </w:tc>
        <w:tc>
          <w:tcPr>
            <w:tcW w:w="5016" w:type="dxa"/>
            <w:tcMar>
              <w:top w:w="40" w:type="dxa"/>
              <w:left w:w="80" w:type="dxa"/>
              <w:bottom w:w="40" w:type="dxa"/>
              <w:right w:w="80" w:type="dxa"/>
            </w:tcMar>
            <w:vAlign w:val="center"/>
          </w:tcPr>
          <w:p w14:paraId="6D8751EC"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1.4.2 – Blocs-portes des locaux humides</w:t>
            </w:r>
          </w:p>
          <w:p w14:paraId="7B5EABB0"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Idem article 1.4.1 avec adaptations : vantail âme pleine hydrofuge (CTBH ou équivalent), parement stratifié compact ou prépeint hydrofuge, chants polyuréthane ou alaises vernies, serrure à condamnation avec décondamnation extérieure d’urgence et voyant libre/occupé (cabinets, douches, vestiaires) ; pour le cabinet PMR : béquille rallongée, barre de rappel horizontale intérieure, condamnation manœuvrable PMR déverrouillable de l’extérieur ; détalonnage 10 mm ou grilles de transfert suivant plan d’amenée d’air du lot n°3 (grilles coupe-feu au lot n°3, réservations au présent lot) ; plaques de propreté inox brossé 2 faces h = 300 mm. Localisation : bât. 87 extension RDC (douche, WC, local ménage) ; étage (douches, sanitaires F, sanitaires H, vestiaires H et F) ; bât. H partie centrale : les sept pièces humides (blocs sanitaires, douches hommes et femmes).</w:t>
            </w:r>
          </w:p>
        </w:tc>
        <w:tc>
          <w:tcPr>
            <w:tcW w:w="800" w:type="dxa"/>
            <w:tcMar>
              <w:top w:w="40" w:type="dxa"/>
              <w:left w:w="80" w:type="dxa"/>
              <w:bottom w:w="40" w:type="dxa"/>
              <w:right w:w="80" w:type="dxa"/>
            </w:tcMar>
            <w:vAlign w:val="center"/>
          </w:tcPr>
          <w:p w14:paraId="79ED80EF"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u</w:t>
            </w:r>
          </w:p>
        </w:tc>
        <w:tc>
          <w:tcPr>
            <w:tcW w:w="900" w:type="dxa"/>
            <w:tcMar>
              <w:top w:w="40" w:type="dxa"/>
              <w:left w:w="80" w:type="dxa"/>
              <w:bottom w:w="40" w:type="dxa"/>
              <w:right w:w="80" w:type="dxa"/>
            </w:tcMar>
            <w:vAlign w:val="center"/>
          </w:tcPr>
          <w:p w14:paraId="277856B9"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4EA3C176"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7B41A5ED" w14:textId="77777777" w:rsidR="0045525D" w:rsidRPr="008D58AE" w:rsidRDefault="0045525D">
            <w:pPr>
              <w:spacing w:before="40" w:after="40"/>
              <w:rPr>
                <w:rFonts w:ascii="Times New Roman" w:hAnsi="Times New Roman" w:cs="Times New Roman"/>
              </w:rPr>
            </w:pPr>
          </w:p>
        </w:tc>
      </w:tr>
      <w:tr w:rsidR="0045525D" w:rsidRPr="008D58AE" w14:paraId="41B9C867" w14:textId="77777777">
        <w:tc>
          <w:tcPr>
            <w:tcW w:w="1150" w:type="dxa"/>
            <w:tcMar>
              <w:top w:w="40" w:type="dxa"/>
              <w:left w:w="80" w:type="dxa"/>
              <w:bottom w:w="40" w:type="dxa"/>
              <w:right w:w="80" w:type="dxa"/>
            </w:tcMar>
            <w:vAlign w:val="center"/>
          </w:tcPr>
          <w:p w14:paraId="099486BD"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3.1.4.4</w:t>
            </w:r>
          </w:p>
        </w:tc>
        <w:tc>
          <w:tcPr>
            <w:tcW w:w="5016" w:type="dxa"/>
            <w:tcMar>
              <w:top w:w="40" w:type="dxa"/>
              <w:left w:w="80" w:type="dxa"/>
              <w:bottom w:w="40" w:type="dxa"/>
              <w:right w:w="80" w:type="dxa"/>
            </w:tcMar>
            <w:vAlign w:val="center"/>
          </w:tcPr>
          <w:p w14:paraId="2201B09E"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1.4.3 – Blocs-po</w:t>
            </w:r>
            <w:r w:rsidR="008528C2">
              <w:rPr>
                <w:rFonts w:ascii="Times New Roman" w:hAnsi="Times New Roman" w:cs="Times New Roman"/>
                <w:b/>
                <w:bCs/>
              </w:rPr>
              <w:t>rtes coupe-feu à 1 vantail (EI 3</w:t>
            </w:r>
            <w:r>
              <w:rPr>
                <w:rFonts w:ascii="Times New Roman" w:hAnsi="Times New Roman" w:cs="Times New Roman"/>
                <w:b/>
                <w:bCs/>
              </w:rPr>
              <w:t>0 / EI 60)</w:t>
            </w:r>
          </w:p>
          <w:p w14:paraId="35E15A77"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Ensembles vantail + huisserie homologués indissociables, EI 60 minimum pour les locaux à risques moyens (sous-stations, stockages), EI 30 pour les autres locaux visés, degré ≥ moitié de celui de la paroi ; ferme-porte hydraulique NF EN 1154 réglé ≤ 50 N, serrure à cylindre européen sur organigramme, béquille double anti-enfoncement à âme acier, joints intumescents périphériques, plaque « Porte coupe-feu – ne pas obstruer », PV de classement et notice de pose fournis avant approvisionnement, pose strictement conforme au PV. Localisation : bât. 87 local DIRISI, local de stockage de l’extension, locaux de stockage sous l’escalier, accès aux combles de la cage d’escalier principale suivant notice de sécurité ; bât. H portes des locaux sous-station (magasins 011 et 012) donnant sur la partie centrale.</w:t>
            </w:r>
          </w:p>
        </w:tc>
        <w:tc>
          <w:tcPr>
            <w:tcW w:w="800" w:type="dxa"/>
            <w:tcMar>
              <w:top w:w="40" w:type="dxa"/>
              <w:left w:w="80" w:type="dxa"/>
              <w:bottom w:w="40" w:type="dxa"/>
              <w:right w:w="80" w:type="dxa"/>
            </w:tcMar>
            <w:vAlign w:val="center"/>
          </w:tcPr>
          <w:p w14:paraId="2158627F"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u</w:t>
            </w:r>
          </w:p>
        </w:tc>
        <w:tc>
          <w:tcPr>
            <w:tcW w:w="900" w:type="dxa"/>
            <w:tcMar>
              <w:top w:w="40" w:type="dxa"/>
              <w:left w:w="80" w:type="dxa"/>
              <w:bottom w:w="40" w:type="dxa"/>
              <w:right w:w="80" w:type="dxa"/>
            </w:tcMar>
            <w:vAlign w:val="center"/>
          </w:tcPr>
          <w:p w14:paraId="56C75EC1"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398AE9EE"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213D24CE" w14:textId="77777777" w:rsidR="0045525D" w:rsidRPr="008D58AE" w:rsidRDefault="0045525D">
            <w:pPr>
              <w:spacing w:before="40" w:after="40"/>
              <w:rPr>
                <w:rFonts w:ascii="Times New Roman" w:hAnsi="Times New Roman" w:cs="Times New Roman"/>
              </w:rPr>
            </w:pPr>
          </w:p>
        </w:tc>
      </w:tr>
      <w:tr w:rsidR="0045525D" w:rsidRPr="008D58AE" w14:paraId="370C4AC0" w14:textId="77777777">
        <w:tc>
          <w:tcPr>
            <w:tcW w:w="1150" w:type="dxa"/>
            <w:tcMar>
              <w:top w:w="40" w:type="dxa"/>
              <w:left w:w="80" w:type="dxa"/>
              <w:bottom w:w="40" w:type="dxa"/>
              <w:right w:w="80" w:type="dxa"/>
            </w:tcMar>
            <w:vAlign w:val="center"/>
          </w:tcPr>
          <w:p w14:paraId="0F4A01E5"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3.1.4.4</w:t>
            </w:r>
          </w:p>
        </w:tc>
        <w:tc>
          <w:tcPr>
            <w:tcW w:w="5016" w:type="dxa"/>
            <w:tcMar>
              <w:top w:w="40" w:type="dxa"/>
              <w:left w:w="80" w:type="dxa"/>
              <w:bottom w:w="40" w:type="dxa"/>
              <w:right w:w="80" w:type="dxa"/>
            </w:tcMar>
            <w:vAlign w:val="center"/>
          </w:tcPr>
          <w:p w14:paraId="253765F1"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1.4.4 – Blocs-portes coupe-feu à 2 vantaux (EI 30 / EI 60)</w:t>
            </w:r>
          </w:p>
          <w:p w14:paraId="594E876C"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Idem article 1.4.3 avec sélecteur de fermeture. Localisation bât. 87 : future sous-station (actuelle chaufferie, portes deux vantaux), deux portes à deux vantaux dans le couloir du RDC et une à l’étage.</w:t>
            </w:r>
          </w:p>
        </w:tc>
        <w:tc>
          <w:tcPr>
            <w:tcW w:w="800" w:type="dxa"/>
            <w:tcMar>
              <w:top w:w="40" w:type="dxa"/>
              <w:left w:w="80" w:type="dxa"/>
              <w:bottom w:w="40" w:type="dxa"/>
              <w:right w:w="80" w:type="dxa"/>
            </w:tcMar>
            <w:vAlign w:val="center"/>
          </w:tcPr>
          <w:p w14:paraId="34AE0EE8"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u</w:t>
            </w:r>
          </w:p>
        </w:tc>
        <w:tc>
          <w:tcPr>
            <w:tcW w:w="900" w:type="dxa"/>
            <w:tcMar>
              <w:top w:w="40" w:type="dxa"/>
              <w:left w:w="80" w:type="dxa"/>
              <w:bottom w:w="40" w:type="dxa"/>
              <w:right w:w="80" w:type="dxa"/>
            </w:tcMar>
            <w:vAlign w:val="center"/>
          </w:tcPr>
          <w:p w14:paraId="147E9780"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5786CC56"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6959D9FA" w14:textId="77777777" w:rsidR="0045525D" w:rsidRPr="008D58AE" w:rsidRDefault="0045525D">
            <w:pPr>
              <w:spacing w:before="40" w:after="40"/>
              <w:rPr>
                <w:rFonts w:ascii="Times New Roman" w:hAnsi="Times New Roman" w:cs="Times New Roman"/>
              </w:rPr>
            </w:pPr>
          </w:p>
        </w:tc>
      </w:tr>
      <w:tr w:rsidR="0045525D" w:rsidRPr="008D58AE" w14:paraId="76D661A2" w14:textId="77777777">
        <w:tc>
          <w:tcPr>
            <w:tcW w:w="1150" w:type="dxa"/>
            <w:tcMar>
              <w:top w:w="40" w:type="dxa"/>
              <w:left w:w="80" w:type="dxa"/>
              <w:bottom w:w="40" w:type="dxa"/>
              <w:right w:w="80" w:type="dxa"/>
            </w:tcMar>
            <w:vAlign w:val="center"/>
          </w:tcPr>
          <w:p w14:paraId="6D9C760C"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3.1.4.5</w:t>
            </w:r>
          </w:p>
        </w:tc>
        <w:tc>
          <w:tcPr>
            <w:tcW w:w="5016" w:type="dxa"/>
            <w:tcMar>
              <w:top w:w="40" w:type="dxa"/>
              <w:left w:w="80" w:type="dxa"/>
              <w:bottom w:w="40" w:type="dxa"/>
              <w:right w:w="80" w:type="dxa"/>
            </w:tcMar>
            <w:vAlign w:val="center"/>
          </w:tcPr>
          <w:p w14:paraId="2669A372"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1.4.5 – Façades de gaines techniques et trappes de visite</w:t>
            </w:r>
          </w:p>
          <w:p w14:paraId="3DB01445"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Portillons ou façades toute hauteur en panneaux dérivés du bois mélaminés ≥ 19 mm sur cadre ou plaques de plâtre sur cadre métallique, serrure batteuse carré de 6 ou à clé sur organigramme selon destination, charnières invisibles ou paumelles déportées (ouverture 180°) ; trappes coupe-feu homologuées de degré identique à la paroi (sous PV) au droit des parois/plafonds à exigence feu, trappes hydrofuges à cadre aluminium en pièces humides ; renforts d’ossature, maintien de l’étanchéité à l’air, finitions périphériques. Bâtiments 87 et H, ensemble des gaines techniques, coordination lot n°3.</w:t>
            </w:r>
          </w:p>
        </w:tc>
        <w:tc>
          <w:tcPr>
            <w:tcW w:w="800" w:type="dxa"/>
            <w:tcMar>
              <w:top w:w="40" w:type="dxa"/>
              <w:left w:w="80" w:type="dxa"/>
              <w:bottom w:w="40" w:type="dxa"/>
              <w:right w:w="80" w:type="dxa"/>
            </w:tcMar>
            <w:vAlign w:val="center"/>
          </w:tcPr>
          <w:p w14:paraId="27067C53" w14:textId="77777777" w:rsidR="0045525D" w:rsidRPr="008D58AE" w:rsidRDefault="000406DB">
            <w:pPr>
              <w:spacing w:before="40" w:after="40"/>
              <w:jc w:val="center"/>
              <w:rPr>
                <w:rFonts w:ascii="Times New Roman" w:hAnsi="Times New Roman" w:cs="Times New Roman"/>
              </w:rPr>
            </w:pPr>
            <w:r>
              <w:rPr>
                <w:rFonts w:ascii="Times New Roman" w:hAnsi="Times New Roman" w:cs="Times New Roman"/>
              </w:rPr>
              <w:t>ENS</w:t>
            </w:r>
          </w:p>
        </w:tc>
        <w:tc>
          <w:tcPr>
            <w:tcW w:w="900" w:type="dxa"/>
            <w:tcMar>
              <w:top w:w="40" w:type="dxa"/>
              <w:left w:w="80" w:type="dxa"/>
              <w:bottom w:w="40" w:type="dxa"/>
              <w:right w:w="80" w:type="dxa"/>
            </w:tcMar>
            <w:vAlign w:val="center"/>
          </w:tcPr>
          <w:p w14:paraId="3EDC4D26"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24889235"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265DC835" w14:textId="77777777" w:rsidR="0045525D" w:rsidRPr="008D58AE" w:rsidRDefault="0045525D">
            <w:pPr>
              <w:spacing w:before="40" w:after="40"/>
              <w:rPr>
                <w:rFonts w:ascii="Times New Roman" w:hAnsi="Times New Roman" w:cs="Times New Roman"/>
              </w:rPr>
            </w:pPr>
          </w:p>
        </w:tc>
      </w:tr>
      <w:tr w:rsidR="0045525D" w:rsidRPr="008D58AE" w14:paraId="59577826" w14:textId="77777777">
        <w:tc>
          <w:tcPr>
            <w:tcW w:w="1150" w:type="dxa"/>
            <w:tcMar>
              <w:top w:w="40" w:type="dxa"/>
              <w:left w:w="80" w:type="dxa"/>
              <w:bottom w:w="40" w:type="dxa"/>
              <w:right w:w="80" w:type="dxa"/>
            </w:tcMar>
            <w:vAlign w:val="center"/>
          </w:tcPr>
          <w:p w14:paraId="196C6F87"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3.1.4.6</w:t>
            </w:r>
          </w:p>
        </w:tc>
        <w:tc>
          <w:tcPr>
            <w:tcW w:w="5016" w:type="dxa"/>
            <w:tcMar>
              <w:top w:w="40" w:type="dxa"/>
              <w:left w:w="80" w:type="dxa"/>
              <w:bottom w:w="40" w:type="dxa"/>
              <w:right w:w="80" w:type="dxa"/>
            </w:tcMar>
            <w:vAlign w:val="center"/>
          </w:tcPr>
          <w:p w14:paraId="6FFF4244"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1.4.6 – Signalétique intérieure</w:t>
            </w:r>
          </w:p>
          <w:p w14:paraId="2E9E1BB2"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Plaques de porte pour l’ensemble des locaux, format ≥ 150 × 150 mm, aluminium anodisé ou polymère rigide, fixation adhésif structural ou vissage inviolable, typographie et pictogrammes contrastés conformes accessibilité (pose entre 1,20 et 1,60 m, relief et braille pour les sanitaires) ; pictogrammes réglementaires des locaux à risques et organes de coupure (cohérence avec le lot n°3) ; numérotation suivant nomenclature du maître d’œuvre, plan de repérage au DOE ; prototype de chaque famille soumis au visa avant série. Bâtiments 87 et H, ensemble des locaux rénovés.</w:t>
            </w:r>
          </w:p>
        </w:tc>
        <w:tc>
          <w:tcPr>
            <w:tcW w:w="800" w:type="dxa"/>
            <w:tcMar>
              <w:top w:w="40" w:type="dxa"/>
              <w:left w:w="80" w:type="dxa"/>
              <w:bottom w:w="40" w:type="dxa"/>
              <w:right w:w="80" w:type="dxa"/>
            </w:tcMar>
            <w:vAlign w:val="center"/>
          </w:tcPr>
          <w:p w14:paraId="02995236" w14:textId="77777777" w:rsidR="0045525D" w:rsidRPr="008D58AE" w:rsidRDefault="000406DB">
            <w:pPr>
              <w:spacing w:before="40" w:after="40"/>
              <w:jc w:val="center"/>
              <w:rPr>
                <w:rFonts w:ascii="Times New Roman" w:hAnsi="Times New Roman" w:cs="Times New Roman"/>
              </w:rPr>
            </w:pPr>
            <w:r>
              <w:rPr>
                <w:rFonts w:ascii="Times New Roman" w:hAnsi="Times New Roman" w:cs="Times New Roman"/>
              </w:rPr>
              <w:t>ENS</w:t>
            </w:r>
          </w:p>
        </w:tc>
        <w:tc>
          <w:tcPr>
            <w:tcW w:w="900" w:type="dxa"/>
            <w:tcMar>
              <w:top w:w="40" w:type="dxa"/>
              <w:left w:w="80" w:type="dxa"/>
              <w:bottom w:w="40" w:type="dxa"/>
              <w:right w:w="80" w:type="dxa"/>
            </w:tcMar>
            <w:vAlign w:val="center"/>
          </w:tcPr>
          <w:p w14:paraId="4EF38D3A"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707DB8F8"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222DFD34" w14:textId="77777777" w:rsidR="0045525D" w:rsidRPr="008D58AE" w:rsidRDefault="0045525D">
            <w:pPr>
              <w:spacing w:before="40" w:after="40"/>
              <w:rPr>
                <w:rFonts w:ascii="Times New Roman" w:hAnsi="Times New Roman" w:cs="Times New Roman"/>
              </w:rPr>
            </w:pPr>
          </w:p>
        </w:tc>
      </w:tr>
      <w:tr w:rsidR="0045525D" w:rsidRPr="008D58AE" w14:paraId="7583C32F" w14:textId="77777777">
        <w:tc>
          <w:tcPr>
            <w:tcW w:w="10466" w:type="dxa"/>
            <w:gridSpan w:val="6"/>
            <w:shd w:val="clear" w:color="auto" w:fill="BFBFBF"/>
            <w:tcMar>
              <w:top w:w="40" w:type="dxa"/>
              <w:left w:w="80" w:type="dxa"/>
              <w:bottom w:w="40" w:type="dxa"/>
              <w:right w:w="80" w:type="dxa"/>
            </w:tcMar>
            <w:vAlign w:val="center"/>
          </w:tcPr>
          <w:p w14:paraId="0BA935DB"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sz w:val="20"/>
                <w:szCs w:val="20"/>
              </w:rPr>
              <w:t>1.5 – Peinture (CCTP § 3.1.5) – produits classe A+ en phase aqueuse, même gamme par famille d’ouvrage, surface témoin ≥ 2 m² par système et support, finition très soignée (A – NF DTU 59.1) sauf locaux techniques et stockage (soignée)</w:t>
            </w:r>
          </w:p>
        </w:tc>
      </w:tr>
      <w:tr w:rsidR="0045525D" w:rsidRPr="008D58AE" w14:paraId="649A7A81" w14:textId="77777777">
        <w:tc>
          <w:tcPr>
            <w:tcW w:w="1150" w:type="dxa"/>
            <w:tcMar>
              <w:top w:w="40" w:type="dxa"/>
              <w:left w:w="80" w:type="dxa"/>
              <w:bottom w:w="40" w:type="dxa"/>
              <w:right w:w="80" w:type="dxa"/>
            </w:tcMar>
            <w:vAlign w:val="center"/>
          </w:tcPr>
          <w:p w14:paraId="5AE3DDDB"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3.1.5.1</w:t>
            </w:r>
          </w:p>
        </w:tc>
        <w:tc>
          <w:tcPr>
            <w:tcW w:w="5016" w:type="dxa"/>
            <w:tcMar>
              <w:top w:w="40" w:type="dxa"/>
              <w:left w:w="80" w:type="dxa"/>
              <w:bottom w:w="40" w:type="dxa"/>
              <w:right w:w="80" w:type="dxa"/>
            </w:tcMar>
            <w:vAlign w:val="center"/>
          </w:tcPr>
          <w:p w14:paraId="72C2F718"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1.5.1 – Préparation des supports</w:t>
            </w:r>
          </w:p>
          <w:p w14:paraId="3C8E3A12"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Sur l’ensemble des supports à peindre selon leur nature : reconnaissance contradictoire des subjectiles, époussetage, égrenage, brossage, rebouchages et ratissages localisés, deuxième passe d’enduit de finition sur les joints des plaques de plâtre (après la 1re passe due à la plâtrerie) avec ponçage et époussetage, enduit repassé ou garnissant sur supports anciens dégradés (grattage, lessivage, rinçage), traitement fongicide des zones contaminées, couche d’impression adaptée à chaque support (plaques, fonds anciens, primaire antirouille métaux, impression bois), protection soignée des ouvrages finis et dépose des protections avec nettoyage. Contrôle en lumière rasante ; reprises sans plus-value.</w:t>
            </w:r>
          </w:p>
        </w:tc>
        <w:tc>
          <w:tcPr>
            <w:tcW w:w="800" w:type="dxa"/>
            <w:tcMar>
              <w:top w:w="40" w:type="dxa"/>
              <w:left w:w="80" w:type="dxa"/>
              <w:bottom w:w="40" w:type="dxa"/>
              <w:right w:w="80" w:type="dxa"/>
            </w:tcMar>
            <w:vAlign w:val="center"/>
          </w:tcPr>
          <w:p w14:paraId="3756A32D" w14:textId="77777777" w:rsidR="0045525D" w:rsidRPr="008D58AE" w:rsidRDefault="000406DB">
            <w:pPr>
              <w:spacing w:before="40" w:after="40"/>
              <w:jc w:val="center"/>
              <w:rPr>
                <w:rFonts w:ascii="Times New Roman" w:hAnsi="Times New Roman" w:cs="Times New Roman"/>
              </w:rPr>
            </w:pPr>
            <w:r>
              <w:rPr>
                <w:rFonts w:ascii="Times New Roman" w:hAnsi="Times New Roman" w:cs="Times New Roman"/>
              </w:rPr>
              <w:t>ENS</w:t>
            </w:r>
          </w:p>
        </w:tc>
        <w:tc>
          <w:tcPr>
            <w:tcW w:w="900" w:type="dxa"/>
            <w:tcMar>
              <w:top w:w="40" w:type="dxa"/>
              <w:left w:w="80" w:type="dxa"/>
              <w:bottom w:w="40" w:type="dxa"/>
              <w:right w:w="80" w:type="dxa"/>
            </w:tcMar>
            <w:vAlign w:val="center"/>
          </w:tcPr>
          <w:p w14:paraId="11BEB8A3"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5CBDFD09"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7FA12878" w14:textId="77777777" w:rsidR="0045525D" w:rsidRPr="008D58AE" w:rsidRDefault="0045525D">
            <w:pPr>
              <w:spacing w:before="40" w:after="40"/>
              <w:rPr>
                <w:rFonts w:ascii="Times New Roman" w:hAnsi="Times New Roman" w:cs="Times New Roman"/>
              </w:rPr>
            </w:pPr>
          </w:p>
        </w:tc>
      </w:tr>
      <w:tr w:rsidR="0045525D" w:rsidRPr="008D58AE" w14:paraId="166825B7" w14:textId="77777777">
        <w:tc>
          <w:tcPr>
            <w:tcW w:w="1150" w:type="dxa"/>
            <w:tcMar>
              <w:top w:w="40" w:type="dxa"/>
              <w:left w:w="80" w:type="dxa"/>
              <w:bottom w:w="40" w:type="dxa"/>
              <w:right w:w="80" w:type="dxa"/>
            </w:tcMar>
            <w:vAlign w:val="center"/>
          </w:tcPr>
          <w:p w14:paraId="155A8AE5"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3.1.5.2</w:t>
            </w:r>
          </w:p>
        </w:tc>
        <w:tc>
          <w:tcPr>
            <w:tcW w:w="5016" w:type="dxa"/>
            <w:tcMar>
              <w:top w:w="40" w:type="dxa"/>
              <w:left w:w="80" w:type="dxa"/>
              <w:bottom w:w="40" w:type="dxa"/>
              <w:right w:w="80" w:type="dxa"/>
            </w:tcMar>
            <w:vAlign w:val="center"/>
          </w:tcPr>
          <w:p w14:paraId="4D8F3979"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1.5.2 – Revêtement mural en toile de verre peinte</w:t>
            </w:r>
          </w:p>
          <w:p w14:paraId="0A9CBF56"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Toile de verre maille fine ≥ 130 g/m² (motif au choix du maître d’œuvre) marouflée sans bulles ni plis, joints affleurés bord à bord, arasements propres ; deux couches de peinture acrylique satinée lessivable classe 1 de résistance à l’abrasion humide (NF EN 13300), teintes légèrement différenciées entre couches ; système satiné spécial milieux humides fongicide du même fabricant dans les locaux humides (au-dessus des faïences), sur coffrages, gaines et plafonds concernés ; coupes et ajustements au droit des baies, angles, appareillages, plinthes et faïences, joints acryliques de finition. Localisation : bât. 87 ensemble des parois verticales RDC et étage, corps principal et extension (bureaux, salles, circulations, dégagements, sanitaires au-dessus des faïences, vestiaires) ; bât. H parois de la partie centrale rénovée (entrées, couloirs, salle du personnel, pièces humides au-dessus des faïences, pièce 012).</w:t>
            </w:r>
          </w:p>
        </w:tc>
        <w:tc>
          <w:tcPr>
            <w:tcW w:w="800" w:type="dxa"/>
            <w:tcMar>
              <w:top w:w="40" w:type="dxa"/>
              <w:left w:w="80" w:type="dxa"/>
              <w:bottom w:w="40" w:type="dxa"/>
              <w:right w:w="80" w:type="dxa"/>
            </w:tcMar>
            <w:vAlign w:val="center"/>
          </w:tcPr>
          <w:p w14:paraId="3A64FAB1"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4EF237D5"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3D54D6EC"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7AC5EED4" w14:textId="77777777" w:rsidR="0045525D" w:rsidRPr="008D58AE" w:rsidRDefault="0045525D">
            <w:pPr>
              <w:spacing w:before="40" w:after="40"/>
              <w:rPr>
                <w:rFonts w:ascii="Times New Roman" w:hAnsi="Times New Roman" w:cs="Times New Roman"/>
              </w:rPr>
            </w:pPr>
          </w:p>
        </w:tc>
      </w:tr>
      <w:tr w:rsidR="0045525D" w:rsidRPr="008D58AE" w14:paraId="05E7627D" w14:textId="77777777">
        <w:tc>
          <w:tcPr>
            <w:tcW w:w="1150" w:type="dxa"/>
            <w:tcMar>
              <w:top w:w="40" w:type="dxa"/>
              <w:left w:w="80" w:type="dxa"/>
              <w:bottom w:w="40" w:type="dxa"/>
              <w:right w:w="80" w:type="dxa"/>
            </w:tcMar>
            <w:vAlign w:val="center"/>
          </w:tcPr>
          <w:p w14:paraId="347BAA22"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3.1.5.2 / 3.1.5.5</w:t>
            </w:r>
          </w:p>
        </w:tc>
        <w:tc>
          <w:tcPr>
            <w:tcW w:w="5016" w:type="dxa"/>
            <w:tcMar>
              <w:top w:w="40" w:type="dxa"/>
              <w:left w:w="80" w:type="dxa"/>
              <w:bottom w:w="40" w:type="dxa"/>
              <w:right w:w="80" w:type="dxa"/>
            </w:tcMar>
            <w:vAlign w:val="center"/>
          </w:tcPr>
          <w:p w14:paraId="073AAD3A"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1.5.3 – Peinture des coffrages et ouvrages divers</w:t>
            </w:r>
          </w:p>
          <w:p w14:paraId="7114397F"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Mise en peinture des coffrages verticaux et horizontaux ainsi que des tuyauteries existantes et futures, systèmes adaptés aux supports.</w:t>
            </w:r>
          </w:p>
        </w:tc>
        <w:tc>
          <w:tcPr>
            <w:tcW w:w="800" w:type="dxa"/>
            <w:tcMar>
              <w:top w:w="40" w:type="dxa"/>
              <w:left w:w="80" w:type="dxa"/>
              <w:bottom w:w="40" w:type="dxa"/>
              <w:right w:w="80" w:type="dxa"/>
            </w:tcMar>
            <w:vAlign w:val="center"/>
          </w:tcPr>
          <w:p w14:paraId="2FEEBC84" w14:textId="77777777" w:rsidR="0045525D" w:rsidRPr="008D58AE" w:rsidRDefault="000406DB">
            <w:pPr>
              <w:spacing w:before="40" w:after="40"/>
              <w:jc w:val="center"/>
              <w:rPr>
                <w:rFonts w:ascii="Times New Roman" w:hAnsi="Times New Roman" w:cs="Times New Roman"/>
              </w:rPr>
            </w:pPr>
            <w:r>
              <w:rPr>
                <w:rFonts w:ascii="Times New Roman" w:hAnsi="Times New Roman" w:cs="Times New Roman"/>
              </w:rPr>
              <w:t>ENS</w:t>
            </w:r>
          </w:p>
        </w:tc>
        <w:tc>
          <w:tcPr>
            <w:tcW w:w="900" w:type="dxa"/>
            <w:tcMar>
              <w:top w:w="40" w:type="dxa"/>
              <w:left w:w="80" w:type="dxa"/>
              <w:bottom w:w="40" w:type="dxa"/>
              <w:right w:w="80" w:type="dxa"/>
            </w:tcMar>
            <w:vAlign w:val="center"/>
          </w:tcPr>
          <w:p w14:paraId="74C2E5B2"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73F2E462"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48307438" w14:textId="77777777" w:rsidR="0045525D" w:rsidRPr="008D58AE" w:rsidRDefault="0045525D">
            <w:pPr>
              <w:spacing w:before="40" w:after="40"/>
              <w:rPr>
                <w:rFonts w:ascii="Times New Roman" w:hAnsi="Times New Roman" w:cs="Times New Roman"/>
              </w:rPr>
            </w:pPr>
          </w:p>
        </w:tc>
      </w:tr>
      <w:tr w:rsidR="0045525D" w:rsidRPr="008D58AE" w14:paraId="1431C32D" w14:textId="77777777">
        <w:tc>
          <w:tcPr>
            <w:tcW w:w="1150" w:type="dxa"/>
            <w:tcMar>
              <w:top w:w="40" w:type="dxa"/>
              <w:left w:w="80" w:type="dxa"/>
              <w:bottom w:w="40" w:type="dxa"/>
              <w:right w:w="80" w:type="dxa"/>
            </w:tcMar>
            <w:vAlign w:val="center"/>
          </w:tcPr>
          <w:p w14:paraId="18B9F63B"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3.1.5.3</w:t>
            </w:r>
          </w:p>
        </w:tc>
        <w:tc>
          <w:tcPr>
            <w:tcW w:w="5016" w:type="dxa"/>
            <w:tcMar>
              <w:top w:w="40" w:type="dxa"/>
              <w:left w:w="80" w:type="dxa"/>
              <w:bottom w:w="40" w:type="dxa"/>
              <w:right w:w="80" w:type="dxa"/>
            </w:tcMar>
            <w:vAlign w:val="center"/>
          </w:tcPr>
          <w:p w14:paraId="3127FE57"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1.5.4 – Peinture des menuiseries intérieures et boiseries</w:t>
            </w:r>
          </w:p>
          <w:p w14:paraId="66551F54"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Vantaux prépeints, huisseries bois, façades de gaines, trappes, plinthes bois éventuelles de l’étage : égrenage, ponçage, dépoussiérage, impression adaptée (primaire antirouille certifié sur ouvrages métalliques, impression bois), deux couches de laque satinée microporeuse en phase aqueuse avec ponçage entre couches, rechampissage soigné, dépose/repose des béquilles et plaques si nécessaire ; simple révision et nettoyage des menuiseries livrées finies ; garde-corps et main courante de l’escalier du bâtiment 87 traités au même système après décapage des parties écaillées et traitement antirouille.</w:t>
            </w:r>
          </w:p>
        </w:tc>
        <w:tc>
          <w:tcPr>
            <w:tcW w:w="800" w:type="dxa"/>
            <w:tcMar>
              <w:top w:w="40" w:type="dxa"/>
              <w:left w:w="80" w:type="dxa"/>
              <w:bottom w:w="40" w:type="dxa"/>
              <w:right w:w="80" w:type="dxa"/>
            </w:tcMar>
            <w:vAlign w:val="center"/>
          </w:tcPr>
          <w:p w14:paraId="6A9FBD8B" w14:textId="77777777" w:rsidR="0045525D" w:rsidRPr="008D58AE" w:rsidRDefault="000406DB">
            <w:pPr>
              <w:spacing w:before="40" w:after="40"/>
              <w:jc w:val="center"/>
              <w:rPr>
                <w:rFonts w:ascii="Times New Roman" w:hAnsi="Times New Roman" w:cs="Times New Roman"/>
              </w:rPr>
            </w:pPr>
            <w:r>
              <w:rPr>
                <w:rFonts w:ascii="Times New Roman" w:hAnsi="Times New Roman" w:cs="Times New Roman"/>
              </w:rPr>
              <w:t>ENS</w:t>
            </w:r>
          </w:p>
        </w:tc>
        <w:tc>
          <w:tcPr>
            <w:tcW w:w="900" w:type="dxa"/>
            <w:tcMar>
              <w:top w:w="40" w:type="dxa"/>
              <w:left w:w="80" w:type="dxa"/>
              <w:bottom w:w="40" w:type="dxa"/>
              <w:right w:w="80" w:type="dxa"/>
            </w:tcMar>
            <w:vAlign w:val="center"/>
          </w:tcPr>
          <w:p w14:paraId="0D376A25"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21EFCF75"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07F66FF5" w14:textId="77777777" w:rsidR="0045525D" w:rsidRPr="008D58AE" w:rsidRDefault="0045525D">
            <w:pPr>
              <w:spacing w:before="40" w:after="40"/>
              <w:rPr>
                <w:rFonts w:ascii="Times New Roman" w:hAnsi="Times New Roman" w:cs="Times New Roman"/>
              </w:rPr>
            </w:pPr>
          </w:p>
        </w:tc>
      </w:tr>
      <w:tr w:rsidR="0045525D" w:rsidRPr="008D58AE" w14:paraId="4A327A98" w14:textId="77777777">
        <w:tc>
          <w:tcPr>
            <w:tcW w:w="1150" w:type="dxa"/>
            <w:tcMar>
              <w:top w:w="40" w:type="dxa"/>
              <w:left w:w="80" w:type="dxa"/>
              <w:bottom w:w="40" w:type="dxa"/>
              <w:right w:w="80" w:type="dxa"/>
            </w:tcMar>
            <w:vAlign w:val="center"/>
          </w:tcPr>
          <w:p w14:paraId="54195F87"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3.1.5.4</w:t>
            </w:r>
          </w:p>
        </w:tc>
        <w:tc>
          <w:tcPr>
            <w:tcW w:w="5016" w:type="dxa"/>
            <w:tcMar>
              <w:top w:w="40" w:type="dxa"/>
              <w:left w:w="80" w:type="dxa"/>
              <w:bottom w:w="40" w:type="dxa"/>
              <w:right w:w="80" w:type="dxa"/>
            </w:tcMar>
            <w:vAlign w:val="center"/>
          </w:tcPr>
          <w:p w14:paraId="6C729123"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1.5.5 – Sablage et mise en peinture des radiateurs conservés – bât. H</w:t>
            </w:r>
          </w:p>
          <w:p w14:paraId="0236D66B"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Vérification préalable au regard du diagnostic plomb (mesures de protection réglementaires en présence de revêtements au plomb dégradés : confinement, aspiration à filtration absolue, déchets en filière adaptée), dépose/repose éventuelle en coordination avec le lot n°3 (vidange et remise en eau au lot n°3) ou traitement en place avec protection intégrale, sablage / aérogommage / décapage jusqu’au métal sain avec récupération et évacuation des résidus (BSD), dégraissage, primaire antirouille, deux couches de peinture spéciale radiateur (T° service ≥ 120 °C), teinte au choix du maître d’œuvre ; consoles, robinetteries non calorifugées et tuyauteries attenantes comprises. Partie centrale du bât. H, radiateurs conservés des locaux rénovés (chambres et magasins exclus).</w:t>
            </w:r>
          </w:p>
        </w:tc>
        <w:tc>
          <w:tcPr>
            <w:tcW w:w="800" w:type="dxa"/>
            <w:tcMar>
              <w:top w:w="40" w:type="dxa"/>
              <w:left w:w="80" w:type="dxa"/>
              <w:bottom w:w="40" w:type="dxa"/>
              <w:right w:w="80" w:type="dxa"/>
            </w:tcMar>
            <w:vAlign w:val="center"/>
          </w:tcPr>
          <w:p w14:paraId="0CCC6D2A"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u</w:t>
            </w:r>
          </w:p>
        </w:tc>
        <w:tc>
          <w:tcPr>
            <w:tcW w:w="900" w:type="dxa"/>
            <w:tcMar>
              <w:top w:w="40" w:type="dxa"/>
              <w:left w:w="80" w:type="dxa"/>
              <w:bottom w:w="40" w:type="dxa"/>
              <w:right w:w="80" w:type="dxa"/>
            </w:tcMar>
            <w:vAlign w:val="center"/>
          </w:tcPr>
          <w:p w14:paraId="198490C5"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0DB29BFE"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18171FFA" w14:textId="77777777" w:rsidR="0045525D" w:rsidRPr="008D58AE" w:rsidRDefault="0045525D">
            <w:pPr>
              <w:spacing w:before="40" w:after="40"/>
              <w:rPr>
                <w:rFonts w:ascii="Times New Roman" w:hAnsi="Times New Roman" w:cs="Times New Roman"/>
              </w:rPr>
            </w:pPr>
          </w:p>
        </w:tc>
      </w:tr>
      <w:tr w:rsidR="0045525D" w:rsidRPr="008D58AE" w14:paraId="7E449641" w14:textId="77777777">
        <w:tc>
          <w:tcPr>
            <w:tcW w:w="1150" w:type="dxa"/>
            <w:tcMar>
              <w:top w:w="40" w:type="dxa"/>
              <w:left w:w="80" w:type="dxa"/>
              <w:bottom w:w="40" w:type="dxa"/>
              <w:right w:w="80" w:type="dxa"/>
            </w:tcMar>
            <w:vAlign w:val="center"/>
          </w:tcPr>
          <w:p w14:paraId="0D960754"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3.1.5.5</w:t>
            </w:r>
          </w:p>
        </w:tc>
        <w:tc>
          <w:tcPr>
            <w:tcW w:w="5016" w:type="dxa"/>
            <w:tcMar>
              <w:top w:w="40" w:type="dxa"/>
              <w:left w:w="80" w:type="dxa"/>
              <w:bottom w:w="40" w:type="dxa"/>
              <w:right w:w="80" w:type="dxa"/>
            </w:tcMar>
            <w:vAlign w:val="center"/>
          </w:tcPr>
          <w:p w14:paraId="4FA3E51A"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1.5.6 – Peinture des canalisations et tuyauteries apparentes</w:t>
            </w:r>
          </w:p>
          <w:p w14:paraId="5D98EA24"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Deux couches de peinture adaptée à chaque support (acier, cuivre, fonte, PVC avec primaire d’adhérence spécifique), dégraissage et impression compris ; repérage conventionnel des fluides par teintes normalisées NF X08-100 ou bagues dans les locaux techniques, en cohérence avec le lot n°3. Bâtiments 87 et H : canalisations apparentes non coffrées des locaux techniques, sanitaires et circulations.</w:t>
            </w:r>
          </w:p>
        </w:tc>
        <w:tc>
          <w:tcPr>
            <w:tcW w:w="800" w:type="dxa"/>
            <w:tcMar>
              <w:top w:w="40" w:type="dxa"/>
              <w:left w:w="80" w:type="dxa"/>
              <w:bottom w:w="40" w:type="dxa"/>
              <w:right w:w="80" w:type="dxa"/>
            </w:tcMar>
            <w:vAlign w:val="center"/>
          </w:tcPr>
          <w:p w14:paraId="4E5B3CCC" w14:textId="77777777" w:rsidR="0045525D" w:rsidRPr="008D58AE" w:rsidRDefault="000406DB">
            <w:pPr>
              <w:spacing w:before="40" w:after="40"/>
              <w:jc w:val="center"/>
              <w:rPr>
                <w:rFonts w:ascii="Times New Roman" w:hAnsi="Times New Roman" w:cs="Times New Roman"/>
              </w:rPr>
            </w:pPr>
            <w:r>
              <w:rPr>
                <w:rFonts w:ascii="Times New Roman" w:hAnsi="Times New Roman" w:cs="Times New Roman"/>
              </w:rPr>
              <w:t>ENS</w:t>
            </w:r>
          </w:p>
        </w:tc>
        <w:tc>
          <w:tcPr>
            <w:tcW w:w="900" w:type="dxa"/>
            <w:tcMar>
              <w:top w:w="40" w:type="dxa"/>
              <w:left w:w="80" w:type="dxa"/>
              <w:bottom w:w="40" w:type="dxa"/>
              <w:right w:w="80" w:type="dxa"/>
            </w:tcMar>
            <w:vAlign w:val="center"/>
          </w:tcPr>
          <w:p w14:paraId="1D383029"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0F9C4467"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78F8DD09" w14:textId="77777777" w:rsidR="0045525D" w:rsidRPr="008D58AE" w:rsidRDefault="0045525D">
            <w:pPr>
              <w:spacing w:before="40" w:after="40"/>
              <w:rPr>
                <w:rFonts w:ascii="Times New Roman" w:hAnsi="Times New Roman" w:cs="Times New Roman"/>
              </w:rPr>
            </w:pPr>
          </w:p>
        </w:tc>
      </w:tr>
      <w:tr w:rsidR="0045525D" w:rsidRPr="008D58AE" w14:paraId="5B4A79A1" w14:textId="77777777">
        <w:tc>
          <w:tcPr>
            <w:tcW w:w="1150" w:type="dxa"/>
            <w:tcMar>
              <w:top w:w="40" w:type="dxa"/>
              <w:left w:w="80" w:type="dxa"/>
              <w:bottom w:w="40" w:type="dxa"/>
              <w:right w:w="80" w:type="dxa"/>
            </w:tcMar>
            <w:vAlign w:val="center"/>
          </w:tcPr>
          <w:p w14:paraId="284542B6"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3.1.5.6</w:t>
            </w:r>
          </w:p>
        </w:tc>
        <w:tc>
          <w:tcPr>
            <w:tcW w:w="5016" w:type="dxa"/>
            <w:tcMar>
              <w:top w:w="40" w:type="dxa"/>
              <w:left w:w="80" w:type="dxa"/>
              <w:bottom w:w="40" w:type="dxa"/>
              <w:right w:w="80" w:type="dxa"/>
            </w:tcMar>
            <w:vAlign w:val="center"/>
          </w:tcPr>
          <w:p w14:paraId="041D06C7"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1.5.7 – Peinture de sol des locaux techniques</w:t>
            </w:r>
          </w:p>
          <w:p w14:paraId="6899BEC8"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Préparation mécanique (grenaillage ou ponçage diamant, réparation des épaufrures au mortier de résine, aspiration), vérification de siccité et cohésion (essais d’arrachement si nécessaire), primaire époxydique et deux couches de peinture de sol époxydique ou polyuréthane bi-composante, résistance au trafic adaptée, finition antidérapante par saupoudrage de charges, teinte au choix du maître d’œuvre ; plinthes à gorge périphériques h = 0,10 m ; marquage au sol des circulations et dégagements devant les armoires électriques si demandé. Localisation : bât. 87 future sous-station (actuelle chaufferie), local DIRISI, local de stockage de l’extension, locaux de stockage sous l’escalier, local pompe ; bât. H futur local sous-station (actuel magasin 011).</w:t>
            </w:r>
          </w:p>
        </w:tc>
        <w:tc>
          <w:tcPr>
            <w:tcW w:w="800" w:type="dxa"/>
            <w:tcMar>
              <w:top w:w="40" w:type="dxa"/>
              <w:left w:w="80" w:type="dxa"/>
              <w:bottom w:w="40" w:type="dxa"/>
              <w:right w:w="80" w:type="dxa"/>
            </w:tcMar>
            <w:vAlign w:val="center"/>
          </w:tcPr>
          <w:p w14:paraId="6D38EB3A"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3BA4F17A"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41D0B441"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7EA000C5" w14:textId="77777777" w:rsidR="0045525D" w:rsidRPr="008D58AE" w:rsidRDefault="0045525D">
            <w:pPr>
              <w:spacing w:before="40" w:after="40"/>
              <w:rPr>
                <w:rFonts w:ascii="Times New Roman" w:hAnsi="Times New Roman" w:cs="Times New Roman"/>
              </w:rPr>
            </w:pPr>
          </w:p>
        </w:tc>
      </w:tr>
      <w:tr w:rsidR="0045525D" w:rsidRPr="008D58AE" w14:paraId="4266F8E9" w14:textId="77777777">
        <w:tc>
          <w:tcPr>
            <w:tcW w:w="1150" w:type="dxa"/>
            <w:shd w:val="clear" w:color="auto" w:fill="F2F2F2"/>
            <w:tcMar>
              <w:top w:w="40" w:type="dxa"/>
              <w:left w:w="80" w:type="dxa"/>
              <w:bottom w:w="40" w:type="dxa"/>
              <w:right w:w="80" w:type="dxa"/>
            </w:tcMar>
            <w:vAlign w:val="center"/>
          </w:tcPr>
          <w:p w14:paraId="5328FD43" w14:textId="77777777" w:rsidR="0045525D" w:rsidRPr="008D58AE" w:rsidRDefault="0045525D">
            <w:pPr>
              <w:spacing w:before="40" w:after="40"/>
              <w:rPr>
                <w:rFonts w:ascii="Times New Roman" w:hAnsi="Times New Roman" w:cs="Times New Roman"/>
              </w:rPr>
            </w:pPr>
          </w:p>
        </w:tc>
        <w:tc>
          <w:tcPr>
            <w:tcW w:w="6716" w:type="dxa"/>
            <w:gridSpan w:val="3"/>
            <w:shd w:val="clear" w:color="auto" w:fill="F2F2F2"/>
            <w:tcMar>
              <w:top w:w="40" w:type="dxa"/>
              <w:left w:w="80" w:type="dxa"/>
              <w:bottom w:w="40" w:type="dxa"/>
              <w:right w:w="80" w:type="dxa"/>
            </w:tcMar>
            <w:vAlign w:val="center"/>
          </w:tcPr>
          <w:p w14:paraId="6688E321"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SOUS-TOTAL SECTION TECHNIQUE N° 1 – € HT</w:t>
            </w:r>
          </w:p>
        </w:tc>
        <w:tc>
          <w:tcPr>
            <w:tcW w:w="1200" w:type="dxa"/>
            <w:shd w:val="clear" w:color="auto" w:fill="F2F2F2"/>
            <w:tcMar>
              <w:top w:w="40" w:type="dxa"/>
              <w:left w:w="80" w:type="dxa"/>
              <w:bottom w:w="40" w:type="dxa"/>
              <w:right w:w="80" w:type="dxa"/>
            </w:tcMar>
            <w:vAlign w:val="center"/>
          </w:tcPr>
          <w:p w14:paraId="2C7E697E" w14:textId="77777777" w:rsidR="0045525D" w:rsidRPr="008D58AE" w:rsidRDefault="0045525D">
            <w:pPr>
              <w:spacing w:before="40" w:after="40"/>
              <w:rPr>
                <w:rFonts w:ascii="Times New Roman" w:hAnsi="Times New Roman" w:cs="Times New Roman"/>
              </w:rPr>
            </w:pPr>
          </w:p>
        </w:tc>
        <w:tc>
          <w:tcPr>
            <w:tcW w:w="1400" w:type="dxa"/>
            <w:shd w:val="clear" w:color="auto" w:fill="F2F2F2"/>
            <w:tcMar>
              <w:top w:w="40" w:type="dxa"/>
              <w:left w:w="80" w:type="dxa"/>
              <w:bottom w:w="40" w:type="dxa"/>
              <w:right w:w="80" w:type="dxa"/>
            </w:tcMar>
            <w:vAlign w:val="center"/>
          </w:tcPr>
          <w:p w14:paraId="08A1CDF6" w14:textId="77777777" w:rsidR="0045525D" w:rsidRPr="008D58AE" w:rsidRDefault="0045525D">
            <w:pPr>
              <w:spacing w:before="40" w:after="40"/>
              <w:rPr>
                <w:rFonts w:ascii="Times New Roman" w:hAnsi="Times New Roman" w:cs="Times New Roman"/>
              </w:rPr>
            </w:pPr>
          </w:p>
        </w:tc>
      </w:tr>
      <w:tr w:rsidR="0045525D" w:rsidRPr="008D58AE" w14:paraId="40FE442E" w14:textId="77777777">
        <w:tc>
          <w:tcPr>
            <w:tcW w:w="10466" w:type="dxa"/>
            <w:gridSpan w:val="6"/>
            <w:shd w:val="clear" w:color="auto" w:fill="A6A6A6"/>
            <w:tcMar>
              <w:top w:w="40" w:type="dxa"/>
              <w:left w:w="80" w:type="dxa"/>
              <w:bottom w:w="40" w:type="dxa"/>
              <w:right w:w="80" w:type="dxa"/>
            </w:tcMar>
            <w:vAlign w:val="center"/>
          </w:tcPr>
          <w:p w14:paraId="0367D25F"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sz w:val="22"/>
                <w:szCs w:val="22"/>
              </w:rPr>
              <w:t>SECTION TECHNIQUE N° 2 – REVÊTEMENTS SOLS ET MURS (fiches techniques, calepinages, échantillons et surfaces témoins soumis au visa ; classements UPEC adaptés – cahier CSTB 3782 ; produits certifiés QB/CSTB compatibles)</w:t>
            </w:r>
          </w:p>
        </w:tc>
      </w:tr>
      <w:tr w:rsidR="0045525D" w:rsidRPr="008D58AE" w14:paraId="586B1EA6" w14:textId="77777777">
        <w:tc>
          <w:tcPr>
            <w:tcW w:w="10466" w:type="dxa"/>
            <w:gridSpan w:val="6"/>
            <w:shd w:val="clear" w:color="auto" w:fill="BFBFBF"/>
            <w:tcMar>
              <w:top w:w="40" w:type="dxa"/>
              <w:left w:w="80" w:type="dxa"/>
              <w:bottom w:w="40" w:type="dxa"/>
              <w:right w:w="80" w:type="dxa"/>
            </w:tcMar>
            <w:vAlign w:val="center"/>
          </w:tcPr>
          <w:p w14:paraId="758A5EFE"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sz w:val="20"/>
                <w:szCs w:val="20"/>
              </w:rPr>
              <w:t>2.1 – Carrelage (CCTP § 3.2.1)</w:t>
            </w:r>
          </w:p>
        </w:tc>
      </w:tr>
      <w:tr w:rsidR="0045525D" w:rsidRPr="008D58AE" w14:paraId="442407BC" w14:textId="77777777">
        <w:tc>
          <w:tcPr>
            <w:tcW w:w="1150" w:type="dxa"/>
            <w:tcMar>
              <w:top w:w="40" w:type="dxa"/>
              <w:left w:w="80" w:type="dxa"/>
              <w:bottom w:w="40" w:type="dxa"/>
              <w:right w:w="80" w:type="dxa"/>
            </w:tcMar>
            <w:vAlign w:val="center"/>
          </w:tcPr>
          <w:p w14:paraId="2083A132"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3.2.1.1</w:t>
            </w:r>
          </w:p>
        </w:tc>
        <w:tc>
          <w:tcPr>
            <w:tcW w:w="5016" w:type="dxa"/>
            <w:tcMar>
              <w:top w:w="40" w:type="dxa"/>
              <w:left w:w="80" w:type="dxa"/>
              <w:bottom w:w="40" w:type="dxa"/>
              <w:right w:w="80" w:type="dxa"/>
            </w:tcMar>
            <w:vAlign w:val="center"/>
          </w:tcPr>
          <w:p w14:paraId="74CBBB4D"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2.1.1 – Préparation des supports carrelés</w:t>
            </w:r>
          </w:p>
          <w:p w14:paraId="46DD6565"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Contrôle de planéité (7 mm / règle de 2 m et 2 mm / réglet de 0,20 m), de cohésion, de fissuration et d’humidité avec signalement écrit des non-conformités, nettoyage, grattage, dépoussiérage, primaire d’accrochage adapté, ragréage fibré classe P3 minimum certifié QB en épaisseur adaptée, reprises localisées de planéité, formes de pente 1 à 2 % vers siphons et grilles de sol (coordination altimétrique avec le lot n°3), traitement des fissures et joints de fractionnement.</w:t>
            </w:r>
          </w:p>
        </w:tc>
        <w:tc>
          <w:tcPr>
            <w:tcW w:w="800" w:type="dxa"/>
            <w:tcMar>
              <w:top w:w="40" w:type="dxa"/>
              <w:left w:w="80" w:type="dxa"/>
              <w:bottom w:w="40" w:type="dxa"/>
              <w:right w:w="80" w:type="dxa"/>
            </w:tcMar>
            <w:vAlign w:val="center"/>
          </w:tcPr>
          <w:p w14:paraId="3687A73D"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0D2796F2"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42D675D7"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38738E3A" w14:textId="77777777" w:rsidR="0045525D" w:rsidRPr="008D58AE" w:rsidRDefault="0045525D">
            <w:pPr>
              <w:spacing w:before="40" w:after="40"/>
              <w:rPr>
                <w:rFonts w:ascii="Times New Roman" w:hAnsi="Times New Roman" w:cs="Times New Roman"/>
              </w:rPr>
            </w:pPr>
          </w:p>
        </w:tc>
      </w:tr>
      <w:tr w:rsidR="0045525D" w:rsidRPr="008D58AE" w14:paraId="7458FED7" w14:textId="77777777">
        <w:tc>
          <w:tcPr>
            <w:tcW w:w="1150" w:type="dxa"/>
            <w:tcMar>
              <w:top w:w="40" w:type="dxa"/>
              <w:left w:w="80" w:type="dxa"/>
              <w:bottom w:w="40" w:type="dxa"/>
              <w:right w:w="80" w:type="dxa"/>
            </w:tcMar>
            <w:vAlign w:val="center"/>
          </w:tcPr>
          <w:p w14:paraId="354987C5"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3.2.1.2</w:t>
            </w:r>
          </w:p>
        </w:tc>
        <w:tc>
          <w:tcPr>
            <w:tcW w:w="5016" w:type="dxa"/>
            <w:tcMar>
              <w:top w:w="40" w:type="dxa"/>
              <w:left w:w="80" w:type="dxa"/>
              <w:bottom w:w="40" w:type="dxa"/>
              <w:right w:w="80" w:type="dxa"/>
            </w:tcMar>
            <w:vAlign w:val="center"/>
          </w:tcPr>
          <w:p w14:paraId="60EA6D8D"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2.1.2 – Système de protection à l’eau sous carrelage (SPEC)</w:t>
            </w:r>
          </w:p>
          <w:p w14:paraId="1C79A406"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Dans l’ensemble des pièces humides carrelées, système sous Avis Technique ou DTA : primaire d’adhérence, résine d’imperméabilisation en deux couches croisées (consommation conforme à l’AT), bandes de renfort noyées en périphérie (relevés ≥ 10 cm), angles rentrants et saillants, joints de fractionnement, manchettes d’étanchéité aux pénétrations, platines aux siphons de sol, délais de séchage conformes.</w:t>
            </w:r>
          </w:p>
        </w:tc>
        <w:tc>
          <w:tcPr>
            <w:tcW w:w="800" w:type="dxa"/>
            <w:tcMar>
              <w:top w:w="40" w:type="dxa"/>
              <w:left w:w="80" w:type="dxa"/>
              <w:bottom w:w="40" w:type="dxa"/>
              <w:right w:w="80" w:type="dxa"/>
            </w:tcMar>
            <w:vAlign w:val="center"/>
          </w:tcPr>
          <w:p w14:paraId="01963FF1"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7C1FB825"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67E85B1A"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57FBDCF8" w14:textId="77777777" w:rsidR="0045525D" w:rsidRPr="008D58AE" w:rsidRDefault="0045525D">
            <w:pPr>
              <w:spacing w:before="40" w:after="40"/>
              <w:rPr>
                <w:rFonts w:ascii="Times New Roman" w:hAnsi="Times New Roman" w:cs="Times New Roman"/>
              </w:rPr>
            </w:pPr>
          </w:p>
        </w:tc>
      </w:tr>
      <w:tr w:rsidR="0045525D" w:rsidRPr="008D58AE" w14:paraId="6AD09386" w14:textId="77777777">
        <w:tc>
          <w:tcPr>
            <w:tcW w:w="1150" w:type="dxa"/>
            <w:tcMar>
              <w:top w:w="40" w:type="dxa"/>
              <w:left w:w="80" w:type="dxa"/>
              <w:bottom w:w="40" w:type="dxa"/>
              <w:right w:w="80" w:type="dxa"/>
            </w:tcMar>
            <w:vAlign w:val="center"/>
          </w:tcPr>
          <w:p w14:paraId="15357BC3"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3.2.1.2</w:t>
            </w:r>
          </w:p>
        </w:tc>
        <w:tc>
          <w:tcPr>
            <w:tcW w:w="5016" w:type="dxa"/>
            <w:tcMar>
              <w:top w:w="40" w:type="dxa"/>
              <w:left w:w="80" w:type="dxa"/>
              <w:bottom w:w="40" w:type="dxa"/>
              <w:right w:w="80" w:type="dxa"/>
            </w:tcMar>
            <w:vAlign w:val="center"/>
          </w:tcPr>
          <w:p w14:paraId="3FD9B2D8"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2.1.3 – Renfort d’étanchéité des douches (natte ou SEL)</w:t>
            </w:r>
          </w:p>
          <w:p w14:paraId="1DAEDB7E"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Dans les douches : natte d’étanchéité collée ou système d’étanchéité liquide (SEL) sous Avis Technique, remonté en plinthe et appliqué sur les parois exposées au ruissellement jusqu’à 2,00 m de hauteur minimum, traitement des angles, traversées de robinetterie, raccords aux receveurs et siphons de sol (douches de plain-pied).</w:t>
            </w:r>
          </w:p>
        </w:tc>
        <w:tc>
          <w:tcPr>
            <w:tcW w:w="800" w:type="dxa"/>
            <w:tcMar>
              <w:top w:w="40" w:type="dxa"/>
              <w:left w:w="80" w:type="dxa"/>
              <w:bottom w:w="40" w:type="dxa"/>
              <w:right w:w="80" w:type="dxa"/>
            </w:tcMar>
            <w:vAlign w:val="center"/>
          </w:tcPr>
          <w:p w14:paraId="58272E23"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7221EBD9"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1A61DCB2"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375C4BB1" w14:textId="77777777" w:rsidR="0045525D" w:rsidRPr="008D58AE" w:rsidRDefault="0045525D">
            <w:pPr>
              <w:spacing w:before="40" w:after="40"/>
              <w:rPr>
                <w:rFonts w:ascii="Times New Roman" w:hAnsi="Times New Roman" w:cs="Times New Roman"/>
              </w:rPr>
            </w:pPr>
          </w:p>
        </w:tc>
      </w:tr>
      <w:tr w:rsidR="0045525D" w:rsidRPr="008D58AE" w14:paraId="0BE1B781" w14:textId="77777777">
        <w:tc>
          <w:tcPr>
            <w:tcW w:w="1150" w:type="dxa"/>
            <w:tcMar>
              <w:top w:w="40" w:type="dxa"/>
              <w:left w:w="80" w:type="dxa"/>
              <w:bottom w:w="40" w:type="dxa"/>
              <w:right w:w="80" w:type="dxa"/>
            </w:tcMar>
            <w:vAlign w:val="center"/>
          </w:tcPr>
          <w:p w14:paraId="5EB86DCB"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3.2.1.3</w:t>
            </w:r>
          </w:p>
        </w:tc>
        <w:tc>
          <w:tcPr>
            <w:tcW w:w="5016" w:type="dxa"/>
            <w:tcMar>
              <w:top w:w="40" w:type="dxa"/>
              <w:left w:w="80" w:type="dxa"/>
              <w:bottom w:w="40" w:type="dxa"/>
              <w:right w:w="80" w:type="dxa"/>
            </w:tcMar>
            <w:vAlign w:val="center"/>
          </w:tcPr>
          <w:p w14:paraId="6458F729"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2.1.4 – Carrelage grès cérame – sols</w:t>
            </w:r>
          </w:p>
          <w:p w14:paraId="440EC7BF"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Carreaux rectifiés grès cérame pleine masse ou émaillé certifiés NF, format 45 × 45 ou 60 × 60 cm au choix du maître d’œuvre, classement U4 P3 E3 C2 minimum, glissance R10 minimum (R11 ou PN12 au droit des douches et sols mouillés pieds nus) ; pose collée en double encollage au mortier-colle déformable C2-S1 minimum adapté au support et au SPEC, joints réduits ≥ 3 mm, calepinage au visa (départs axés, coupes en rives cachées), joints hydrofuges teinte au choix (époxydiques dans les douches), joints de fractionnement et périphériques NF DTU 52.2 au mastic élastomère, découpes soignées (appareils, siphons, huisseries, bâtis-supports, canalisations) avec mastic sanitaire fongicide, profils de transition et seuils inox ou aluminium sans ressaut &gt; 2 cm chanfreiné, protection des ouvrages jusqu’à réception. Localisation : bât. 87 ensemble des pièces de l’extension (RDC et étage) et ensemble des pièces du corps principal RDC (locaux techniques et de stockage, tous les bureaux, pièce de convivialité, couloirs) ; bât. H partie centrale : les sept pièces humides, quatre buanderies, dégagements, entrées, locaux techniques et sous-station, pièce 012, pièce de convivialité.</w:t>
            </w:r>
          </w:p>
        </w:tc>
        <w:tc>
          <w:tcPr>
            <w:tcW w:w="800" w:type="dxa"/>
            <w:tcMar>
              <w:top w:w="40" w:type="dxa"/>
              <w:left w:w="80" w:type="dxa"/>
              <w:bottom w:w="40" w:type="dxa"/>
              <w:right w:w="80" w:type="dxa"/>
            </w:tcMar>
            <w:vAlign w:val="center"/>
          </w:tcPr>
          <w:p w14:paraId="0611BACA"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71378709"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7A445230"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2A11E743" w14:textId="77777777" w:rsidR="0045525D" w:rsidRPr="008D58AE" w:rsidRDefault="0045525D">
            <w:pPr>
              <w:spacing w:before="40" w:after="40"/>
              <w:rPr>
                <w:rFonts w:ascii="Times New Roman" w:hAnsi="Times New Roman" w:cs="Times New Roman"/>
              </w:rPr>
            </w:pPr>
          </w:p>
        </w:tc>
      </w:tr>
      <w:tr w:rsidR="0045525D" w:rsidRPr="008D58AE" w14:paraId="3C957B26" w14:textId="77777777">
        <w:tc>
          <w:tcPr>
            <w:tcW w:w="1150" w:type="dxa"/>
            <w:tcMar>
              <w:top w:w="40" w:type="dxa"/>
              <w:left w:w="80" w:type="dxa"/>
              <w:bottom w:w="40" w:type="dxa"/>
              <w:right w:w="80" w:type="dxa"/>
            </w:tcMar>
            <w:vAlign w:val="center"/>
          </w:tcPr>
          <w:p w14:paraId="6D49923F"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3.2.1.3</w:t>
            </w:r>
          </w:p>
        </w:tc>
        <w:tc>
          <w:tcPr>
            <w:tcW w:w="5016" w:type="dxa"/>
            <w:tcMar>
              <w:top w:w="40" w:type="dxa"/>
              <w:left w:w="80" w:type="dxa"/>
              <w:bottom w:w="40" w:type="dxa"/>
              <w:right w:w="80" w:type="dxa"/>
            </w:tcMar>
            <w:vAlign w:val="center"/>
          </w:tcPr>
          <w:p w14:paraId="3A7C788B"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2.1.5 – Plinthes carrelage assorties à talon h = 8 cm</w:t>
            </w:r>
          </w:p>
          <w:p w14:paraId="54293780"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En périphérie des parois non faïencées, posées à joints alignés sur ceux du sol.</w:t>
            </w:r>
          </w:p>
        </w:tc>
        <w:tc>
          <w:tcPr>
            <w:tcW w:w="800" w:type="dxa"/>
            <w:tcMar>
              <w:top w:w="40" w:type="dxa"/>
              <w:left w:w="80" w:type="dxa"/>
              <w:bottom w:w="40" w:type="dxa"/>
              <w:right w:w="80" w:type="dxa"/>
            </w:tcMar>
            <w:vAlign w:val="center"/>
          </w:tcPr>
          <w:p w14:paraId="4C42FC85"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ml</w:t>
            </w:r>
          </w:p>
        </w:tc>
        <w:tc>
          <w:tcPr>
            <w:tcW w:w="900" w:type="dxa"/>
            <w:tcMar>
              <w:top w:w="40" w:type="dxa"/>
              <w:left w:w="80" w:type="dxa"/>
              <w:bottom w:w="40" w:type="dxa"/>
              <w:right w:w="80" w:type="dxa"/>
            </w:tcMar>
            <w:vAlign w:val="center"/>
          </w:tcPr>
          <w:p w14:paraId="40DE5E0C"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2DCAC322"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56ACC1D9" w14:textId="77777777" w:rsidR="0045525D" w:rsidRPr="008D58AE" w:rsidRDefault="0045525D">
            <w:pPr>
              <w:spacing w:before="40" w:after="40"/>
              <w:rPr>
                <w:rFonts w:ascii="Times New Roman" w:hAnsi="Times New Roman" w:cs="Times New Roman"/>
              </w:rPr>
            </w:pPr>
          </w:p>
        </w:tc>
      </w:tr>
      <w:tr w:rsidR="0045525D" w:rsidRPr="008D58AE" w14:paraId="60E7BDAF" w14:textId="77777777">
        <w:tc>
          <w:tcPr>
            <w:tcW w:w="10466" w:type="dxa"/>
            <w:gridSpan w:val="6"/>
            <w:shd w:val="clear" w:color="auto" w:fill="BFBFBF"/>
            <w:tcMar>
              <w:top w:w="40" w:type="dxa"/>
              <w:left w:w="80" w:type="dxa"/>
              <w:bottom w:w="40" w:type="dxa"/>
              <w:right w:w="80" w:type="dxa"/>
            </w:tcMar>
            <w:vAlign w:val="center"/>
          </w:tcPr>
          <w:p w14:paraId="4DA22810"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sz w:val="20"/>
                <w:szCs w:val="20"/>
              </w:rPr>
              <w:t>2.2 – Faïence (CCTP § 3.2.2)</w:t>
            </w:r>
          </w:p>
        </w:tc>
      </w:tr>
      <w:tr w:rsidR="0045525D" w:rsidRPr="008D58AE" w14:paraId="62436ACD" w14:textId="77777777">
        <w:tc>
          <w:tcPr>
            <w:tcW w:w="1150" w:type="dxa"/>
            <w:tcMar>
              <w:top w:w="40" w:type="dxa"/>
              <w:left w:w="80" w:type="dxa"/>
              <w:bottom w:w="40" w:type="dxa"/>
              <w:right w:w="80" w:type="dxa"/>
            </w:tcMar>
            <w:vAlign w:val="center"/>
          </w:tcPr>
          <w:p w14:paraId="3564D48B"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3.2.2.1</w:t>
            </w:r>
          </w:p>
        </w:tc>
        <w:tc>
          <w:tcPr>
            <w:tcW w:w="5016" w:type="dxa"/>
            <w:tcMar>
              <w:top w:w="40" w:type="dxa"/>
              <w:left w:w="80" w:type="dxa"/>
              <w:bottom w:w="40" w:type="dxa"/>
              <w:right w:w="80" w:type="dxa"/>
            </w:tcMar>
            <w:vAlign w:val="center"/>
          </w:tcPr>
          <w:p w14:paraId="783A9689"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2.2.1 – Revêtement mural en faïence 30 × 60</w:t>
            </w:r>
          </w:p>
          <w:p w14:paraId="7AADEEE4"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Carreaux de faïence émaillée certifiés NF, format 30 × 60, teinte au choix du maître d’œuvre, frises, listels ou carreaux contrastés possibles sans plus-value ; pose collée au mortier-colle C2 sur parois planes (plaques hydrofuges dues à la plâtrerie du présent lot, planéité 5 mm / règle de 2 m), calepinage au visa (départs symétriques, coupes égales, alignement recherché avec les joints du sol), joints hydrofuges (époxydiques dans les douches), profils d’angle, de départ et de finition en aluminium anodisé sur toutes arêtes et têtes de cloisons, mastic sanitaire fongicide aux raccordements (appareils, receveurs, sols, plafonds, menuiseries), découpes propres à la scie cloche en coordination avec le lot n°3. Hauteurs : toute hauteur dans les douches sur toutes parois ; 1,50 m au droit des appareils sanitaires et sur l’ensemble des parois des blocs sanitaires et buanderies ; crédences 0,60 m au-dessus des plans de travail et éviers. Localisation : bât. 87 pièces humides de l’extension (RDC et étage), blocs sanitaires et douches de l’étage, crédence de la kitchenette de la salle de convivialité ; bât. H partie centrale : les sept pièces humides, crédence de l’évier de la salle du personnel (002), buanderies, pièces 011 et 012.</w:t>
            </w:r>
          </w:p>
        </w:tc>
        <w:tc>
          <w:tcPr>
            <w:tcW w:w="800" w:type="dxa"/>
            <w:tcMar>
              <w:top w:w="40" w:type="dxa"/>
              <w:left w:w="80" w:type="dxa"/>
              <w:bottom w:w="40" w:type="dxa"/>
              <w:right w:w="80" w:type="dxa"/>
            </w:tcMar>
            <w:vAlign w:val="center"/>
          </w:tcPr>
          <w:p w14:paraId="7DB29B08"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47F28C00" w14:textId="77777777" w:rsidR="0045525D" w:rsidRPr="008D58AE" w:rsidRDefault="0045525D" w:rsidP="000406DB">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3EF1ACD9"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5880DA4C" w14:textId="77777777" w:rsidR="0045525D" w:rsidRPr="008D58AE" w:rsidRDefault="0045525D">
            <w:pPr>
              <w:spacing w:before="40" w:after="40"/>
              <w:rPr>
                <w:rFonts w:ascii="Times New Roman" w:hAnsi="Times New Roman" w:cs="Times New Roman"/>
              </w:rPr>
            </w:pPr>
          </w:p>
        </w:tc>
      </w:tr>
      <w:tr w:rsidR="0045525D" w:rsidRPr="008D58AE" w14:paraId="76CE4FF1" w14:textId="77777777">
        <w:tc>
          <w:tcPr>
            <w:tcW w:w="10466" w:type="dxa"/>
            <w:gridSpan w:val="6"/>
            <w:shd w:val="clear" w:color="auto" w:fill="BFBFBF"/>
            <w:tcMar>
              <w:top w:w="40" w:type="dxa"/>
              <w:left w:w="80" w:type="dxa"/>
              <w:bottom w:w="40" w:type="dxa"/>
              <w:right w:w="80" w:type="dxa"/>
            </w:tcMar>
            <w:vAlign w:val="center"/>
          </w:tcPr>
          <w:p w14:paraId="4F652877"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sz w:val="20"/>
                <w:szCs w:val="20"/>
              </w:rPr>
              <w:t>2.3 – Sols souples (CCTP § 3.2.3)</w:t>
            </w:r>
          </w:p>
        </w:tc>
      </w:tr>
      <w:tr w:rsidR="0045525D" w:rsidRPr="008D58AE" w14:paraId="06181C16" w14:textId="77777777">
        <w:tc>
          <w:tcPr>
            <w:tcW w:w="1150" w:type="dxa"/>
            <w:tcMar>
              <w:top w:w="40" w:type="dxa"/>
              <w:left w:w="80" w:type="dxa"/>
              <w:bottom w:w="40" w:type="dxa"/>
              <w:right w:w="80" w:type="dxa"/>
            </w:tcMar>
            <w:vAlign w:val="center"/>
          </w:tcPr>
          <w:p w14:paraId="63DDD446"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3.2.3.1</w:t>
            </w:r>
          </w:p>
        </w:tc>
        <w:tc>
          <w:tcPr>
            <w:tcW w:w="5016" w:type="dxa"/>
            <w:tcMar>
              <w:top w:w="40" w:type="dxa"/>
              <w:left w:w="80" w:type="dxa"/>
              <w:bottom w:w="40" w:type="dxa"/>
              <w:right w:w="80" w:type="dxa"/>
            </w:tcMar>
            <w:vAlign w:val="center"/>
          </w:tcPr>
          <w:p w14:paraId="502567DB"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2.3.1 – Préparation des supports des sols souples</w:t>
            </w:r>
          </w:p>
          <w:p w14:paraId="460E2203"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Conformément au NF DTU 53.12 : contrôle de cohésion, de planéité (5 mm / règle de 2 m et 1 mm / réglet de 0,20 m) et d’humidité (bombe au carbure si nécessaire, ≤ 4,5 % pour supports ciment) avec constat écrit, reprise des planchers dégradés, élimination complète des anciens revêtements et colles, rebouchages au mortier de réparation, primaire d’adhérence, ragréage autolissant classe P3 minimum certifié QB ép. ≥ 3 mm, ragréages localisés complémentaires, ponçage et dépoussiérage.</w:t>
            </w:r>
          </w:p>
        </w:tc>
        <w:tc>
          <w:tcPr>
            <w:tcW w:w="800" w:type="dxa"/>
            <w:tcMar>
              <w:top w:w="40" w:type="dxa"/>
              <w:left w:w="80" w:type="dxa"/>
              <w:bottom w:w="40" w:type="dxa"/>
              <w:right w:w="80" w:type="dxa"/>
            </w:tcMar>
            <w:vAlign w:val="center"/>
          </w:tcPr>
          <w:p w14:paraId="273BA4AF"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36298E03"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7339EB05"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0FFA082B" w14:textId="77777777" w:rsidR="0045525D" w:rsidRPr="008D58AE" w:rsidRDefault="0045525D">
            <w:pPr>
              <w:spacing w:before="40" w:after="40"/>
              <w:rPr>
                <w:rFonts w:ascii="Times New Roman" w:hAnsi="Times New Roman" w:cs="Times New Roman"/>
              </w:rPr>
            </w:pPr>
          </w:p>
        </w:tc>
      </w:tr>
      <w:tr w:rsidR="0045525D" w:rsidRPr="008D58AE" w14:paraId="080C545E" w14:textId="77777777">
        <w:tc>
          <w:tcPr>
            <w:tcW w:w="1150" w:type="dxa"/>
            <w:tcMar>
              <w:top w:w="40" w:type="dxa"/>
              <w:left w:w="80" w:type="dxa"/>
              <w:bottom w:w="40" w:type="dxa"/>
              <w:right w:w="80" w:type="dxa"/>
            </w:tcMar>
            <w:vAlign w:val="center"/>
          </w:tcPr>
          <w:p w14:paraId="65FA2FE3"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3.2.3.2</w:t>
            </w:r>
          </w:p>
        </w:tc>
        <w:tc>
          <w:tcPr>
            <w:tcW w:w="5016" w:type="dxa"/>
            <w:tcMar>
              <w:top w:w="40" w:type="dxa"/>
              <w:left w:w="80" w:type="dxa"/>
              <w:bottom w:w="40" w:type="dxa"/>
              <w:right w:w="80" w:type="dxa"/>
            </w:tcMar>
            <w:vAlign w:val="center"/>
          </w:tcPr>
          <w:p w14:paraId="4A0C04A3"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2.3.2 – Revêtement de sol PVC en lames type parquet</w:t>
            </w:r>
          </w:p>
          <w:p w14:paraId="4A1AADA4"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PVC homogène ou hétérogène compact en lames (ex. 120 × 20 cm) NF EN ISO 10581/10582, classement U4 P3 E1 C0 minimum (certificat QB UPEC exigé), épaisseur totale ≥ 2 mm, traitement de surface polyuréthane sans métallisation obligatoire, réaction au feu Cfl-s1 minimum (PV fourni) ; pose collée en plein à la colle acrylique préconisée ou clipsée, marouflage soigné, joints soudés à chaud au cordon assorti après rainurage, arasés ; teintes et calepinage au choix du maître d’œuvre, teintes différenciées possibles pour le repérage des circulations (contrastes accessibilité) ; points singuliers (découpes aux huisseries et canalisations avec mastic, remontées en plinthe en zones exposées), barres de seuil et profils de transition inox ou aluminium vissés sans ressaut, protection jusqu’à réception, consignes d’entretien au DOE. Localisation : bât. 87 étage – tous les bureaux, salle de réunion, salle d’instruction, vestiaires hommes et femmes, circulations.</w:t>
            </w:r>
          </w:p>
        </w:tc>
        <w:tc>
          <w:tcPr>
            <w:tcW w:w="800" w:type="dxa"/>
            <w:tcMar>
              <w:top w:w="40" w:type="dxa"/>
              <w:left w:w="80" w:type="dxa"/>
              <w:bottom w:w="40" w:type="dxa"/>
              <w:right w:w="80" w:type="dxa"/>
            </w:tcMar>
            <w:vAlign w:val="center"/>
          </w:tcPr>
          <w:p w14:paraId="7C8450E7"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m²</w:t>
            </w:r>
          </w:p>
        </w:tc>
        <w:tc>
          <w:tcPr>
            <w:tcW w:w="900" w:type="dxa"/>
            <w:tcMar>
              <w:top w:w="40" w:type="dxa"/>
              <w:left w:w="80" w:type="dxa"/>
              <w:bottom w:w="40" w:type="dxa"/>
              <w:right w:w="80" w:type="dxa"/>
            </w:tcMar>
            <w:vAlign w:val="center"/>
          </w:tcPr>
          <w:p w14:paraId="7B20B66F"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3103BEBB"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77B8CFE4" w14:textId="77777777" w:rsidR="0045525D" w:rsidRPr="008D58AE" w:rsidRDefault="0045525D">
            <w:pPr>
              <w:spacing w:before="40" w:after="40"/>
              <w:rPr>
                <w:rFonts w:ascii="Times New Roman" w:hAnsi="Times New Roman" w:cs="Times New Roman"/>
              </w:rPr>
            </w:pPr>
          </w:p>
        </w:tc>
      </w:tr>
      <w:tr w:rsidR="0045525D" w:rsidRPr="008D58AE" w14:paraId="65403561" w14:textId="77777777">
        <w:tc>
          <w:tcPr>
            <w:tcW w:w="1150" w:type="dxa"/>
            <w:tcMar>
              <w:top w:w="40" w:type="dxa"/>
              <w:left w:w="80" w:type="dxa"/>
              <w:bottom w:w="40" w:type="dxa"/>
              <w:right w:w="80" w:type="dxa"/>
            </w:tcMar>
            <w:vAlign w:val="center"/>
          </w:tcPr>
          <w:p w14:paraId="5C0D5B69"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3.2.3.3</w:t>
            </w:r>
          </w:p>
        </w:tc>
        <w:tc>
          <w:tcPr>
            <w:tcW w:w="5016" w:type="dxa"/>
            <w:tcMar>
              <w:top w:w="40" w:type="dxa"/>
              <w:left w:w="80" w:type="dxa"/>
              <w:bottom w:w="40" w:type="dxa"/>
              <w:right w:w="80" w:type="dxa"/>
            </w:tcMar>
            <w:vAlign w:val="center"/>
          </w:tcPr>
          <w:p w14:paraId="0778AD01"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2.3.3 – Plinthes PVC à lèvre souple h ≥ 80 mm</w:t>
            </w:r>
          </w:p>
          <w:p w14:paraId="3B91BB62"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Assorties au revêtement, collées, en périphérie de tous les locaux revêtus de sols souples, y compris angles préformés intérieurs et extérieurs, embouts et coupes d’onglet ; type arrêté par le maître d’œuvre au vu des échantillons.</w:t>
            </w:r>
          </w:p>
        </w:tc>
        <w:tc>
          <w:tcPr>
            <w:tcW w:w="800" w:type="dxa"/>
            <w:tcMar>
              <w:top w:w="40" w:type="dxa"/>
              <w:left w:w="80" w:type="dxa"/>
              <w:bottom w:w="40" w:type="dxa"/>
              <w:right w:w="80" w:type="dxa"/>
            </w:tcMar>
            <w:vAlign w:val="center"/>
          </w:tcPr>
          <w:p w14:paraId="60CE6508"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ml</w:t>
            </w:r>
          </w:p>
        </w:tc>
        <w:tc>
          <w:tcPr>
            <w:tcW w:w="900" w:type="dxa"/>
            <w:tcMar>
              <w:top w:w="40" w:type="dxa"/>
              <w:left w:w="80" w:type="dxa"/>
              <w:bottom w:w="40" w:type="dxa"/>
              <w:right w:w="80" w:type="dxa"/>
            </w:tcMar>
            <w:vAlign w:val="center"/>
          </w:tcPr>
          <w:p w14:paraId="6906DA37"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46EE68EA"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433BB94A" w14:textId="77777777" w:rsidR="0045525D" w:rsidRPr="008D58AE" w:rsidRDefault="0045525D">
            <w:pPr>
              <w:spacing w:before="40" w:after="40"/>
              <w:rPr>
                <w:rFonts w:ascii="Times New Roman" w:hAnsi="Times New Roman" w:cs="Times New Roman"/>
              </w:rPr>
            </w:pPr>
          </w:p>
        </w:tc>
      </w:tr>
      <w:tr w:rsidR="0045525D" w:rsidRPr="008D58AE" w14:paraId="7A8F3346" w14:textId="77777777">
        <w:tc>
          <w:tcPr>
            <w:tcW w:w="10466" w:type="dxa"/>
            <w:gridSpan w:val="6"/>
            <w:shd w:val="clear" w:color="auto" w:fill="BFBFBF"/>
            <w:tcMar>
              <w:top w:w="40" w:type="dxa"/>
              <w:left w:w="80" w:type="dxa"/>
              <w:bottom w:w="40" w:type="dxa"/>
              <w:right w:w="80" w:type="dxa"/>
            </w:tcMar>
            <w:vAlign w:val="center"/>
          </w:tcPr>
          <w:p w14:paraId="6B4CC0D9"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sz w:val="20"/>
                <w:szCs w:val="20"/>
              </w:rPr>
              <w:t>2.4 – Traitement de l’escalier intérieur du bâtiment 87 (CCTP § 3.2.4)</w:t>
            </w:r>
          </w:p>
        </w:tc>
      </w:tr>
      <w:tr w:rsidR="0045525D" w:rsidRPr="008D58AE" w14:paraId="0BFAD1BE" w14:textId="77777777">
        <w:tc>
          <w:tcPr>
            <w:tcW w:w="1150" w:type="dxa"/>
            <w:tcMar>
              <w:top w:w="40" w:type="dxa"/>
              <w:left w:w="80" w:type="dxa"/>
              <w:bottom w:w="40" w:type="dxa"/>
              <w:right w:w="80" w:type="dxa"/>
            </w:tcMar>
            <w:vAlign w:val="center"/>
          </w:tcPr>
          <w:p w14:paraId="62AEFABD"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3.2.4.1</w:t>
            </w:r>
          </w:p>
        </w:tc>
        <w:tc>
          <w:tcPr>
            <w:tcW w:w="5016" w:type="dxa"/>
            <w:tcMar>
              <w:top w:w="40" w:type="dxa"/>
              <w:left w:w="80" w:type="dxa"/>
              <w:bottom w:w="40" w:type="dxa"/>
              <w:right w:w="80" w:type="dxa"/>
            </w:tcMar>
            <w:vAlign w:val="center"/>
          </w:tcPr>
          <w:p w14:paraId="6DD61DAB"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2.4.1 – Nez de marche antidérapants et contrastés</w:t>
            </w:r>
          </w:p>
          <w:p w14:paraId="4A3D105F"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Nez de marche antidérapants (R10 minimum), contrastés visuellement (contraste ≥ 70 % recherché), non saillants, fixés mécaniquement et collés sur toute la largeur des marches (bandes antidérapantes transparentes ou stries mécaniques), y compris préparation, ragréage localisé et essais de convenance d’adhérence. Escalier principal en entier, du rez-de-chaussée aux combles.</w:t>
            </w:r>
          </w:p>
        </w:tc>
        <w:tc>
          <w:tcPr>
            <w:tcW w:w="800" w:type="dxa"/>
            <w:tcMar>
              <w:top w:w="40" w:type="dxa"/>
              <w:left w:w="80" w:type="dxa"/>
              <w:bottom w:w="40" w:type="dxa"/>
              <w:right w:w="80" w:type="dxa"/>
            </w:tcMar>
            <w:vAlign w:val="center"/>
          </w:tcPr>
          <w:p w14:paraId="23A9F20B"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u</w:t>
            </w:r>
          </w:p>
        </w:tc>
        <w:tc>
          <w:tcPr>
            <w:tcW w:w="900" w:type="dxa"/>
            <w:tcMar>
              <w:top w:w="40" w:type="dxa"/>
              <w:left w:w="80" w:type="dxa"/>
              <w:bottom w:w="40" w:type="dxa"/>
              <w:right w:w="80" w:type="dxa"/>
            </w:tcMar>
            <w:vAlign w:val="center"/>
          </w:tcPr>
          <w:p w14:paraId="49B74831"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1759627C"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5B23EAFD" w14:textId="77777777" w:rsidR="0045525D" w:rsidRPr="008D58AE" w:rsidRDefault="0045525D">
            <w:pPr>
              <w:spacing w:before="40" w:after="40"/>
              <w:rPr>
                <w:rFonts w:ascii="Times New Roman" w:hAnsi="Times New Roman" w:cs="Times New Roman"/>
              </w:rPr>
            </w:pPr>
          </w:p>
        </w:tc>
      </w:tr>
      <w:tr w:rsidR="0045525D" w:rsidRPr="008D58AE" w14:paraId="476AC1D4" w14:textId="77777777">
        <w:tc>
          <w:tcPr>
            <w:tcW w:w="1150" w:type="dxa"/>
            <w:tcMar>
              <w:top w:w="40" w:type="dxa"/>
              <w:left w:w="80" w:type="dxa"/>
              <w:bottom w:w="40" w:type="dxa"/>
              <w:right w:w="80" w:type="dxa"/>
            </w:tcMar>
            <w:vAlign w:val="center"/>
          </w:tcPr>
          <w:p w14:paraId="304D13BB"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3.2.4.2.1 à 3.2.4.2.8</w:t>
            </w:r>
          </w:p>
        </w:tc>
        <w:tc>
          <w:tcPr>
            <w:tcW w:w="5016" w:type="dxa"/>
            <w:tcMar>
              <w:top w:w="40" w:type="dxa"/>
              <w:left w:w="80" w:type="dxa"/>
              <w:bottom w:w="40" w:type="dxa"/>
              <w:right w:w="80" w:type="dxa"/>
            </w:tcMar>
            <w:vAlign w:val="center"/>
          </w:tcPr>
          <w:p w14:paraId="17FABF22"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2.4.2 – Rénovation complète des marches, contremarches, paliers et limons</w:t>
            </w:r>
          </w:p>
          <w:p w14:paraId="098338CC"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Diagnostic de l’état du support bois, décapage chimique ou thermique basse température des anciennes finitions, réparations mécaniques (resserrage des assemblages, suppression des grincements par injection de colle et calage, remplacement à l’identique des pièces dégradées après purge), traitement insecticide et fongicide curatif certifié CTB-P+ ou équivalent, rebouchage à la pâte à bois ou mastic bi-composant teinté, ponçage complet (marches, contremarches, limons, palier) avec aspiration à filtration fine, dépoussiérage entre grains, essai de teinte préalable validé, vitrification polyuréthane mono ou bi-composante (ou hydrodiluable basse odeur) usage fort trafic (U4 minimum), finition au choix (mate/satinée/brillante), minimum trois couches (impression + fond + finition) avec ponçage intermédiaire, couche de renfort locale possible sur nez de marche ; remplacement des plinthes bois sur les murs ; conditions d’application contrôlées (15-25 °C, absence de poussière).</w:t>
            </w:r>
          </w:p>
        </w:tc>
        <w:tc>
          <w:tcPr>
            <w:tcW w:w="800" w:type="dxa"/>
            <w:tcMar>
              <w:top w:w="40" w:type="dxa"/>
              <w:left w:w="80" w:type="dxa"/>
              <w:bottom w:w="40" w:type="dxa"/>
              <w:right w:w="80" w:type="dxa"/>
            </w:tcMar>
            <w:vAlign w:val="center"/>
          </w:tcPr>
          <w:p w14:paraId="0A269B7E" w14:textId="77777777" w:rsidR="0045525D" w:rsidRPr="008D58AE" w:rsidRDefault="000406DB">
            <w:pPr>
              <w:spacing w:before="40" w:after="40"/>
              <w:jc w:val="center"/>
              <w:rPr>
                <w:rFonts w:ascii="Times New Roman" w:hAnsi="Times New Roman" w:cs="Times New Roman"/>
              </w:rPr>
            </w:pPr>
            <w:r>
              <w:rPr>
                <w:rFonts w:ascii="Times New Roman" w:hAnsi="Times New Roman" w:cs="Times New Roman"/>
              </w:rPr>
              <w:t>ENS</w:t>
            </w:r>
          </w:p>
        </w:tc>
        <w:tc>
          <w:tcPr>
            <w:tcW w:w="900" w:type="dxa"/>
            <w:tcMar>
              <w:top w:w="40" w:type="dxa"/>
              <w:left w:w="80" w:type="dxa"/>
              <w:bottom w:w="40" w:type="dxa"/>
              <w:right w:w="80" w:type="dxa"/>
            </w:tcMar>
            <w:vAlign w:val="center"/>
          </w:tcPr>
          <w:p w14:paraId="0627D8CA"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41B470B5"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4254B9DA" w14:textId="77777777" w:rsidR="0045525D" w:rsidRPr="008D58AE" w:rsidRDefault="0045525D">
            <w:pPr>
              <w:spacing w:before="40" w:after="40"/>
              <w:rPr>
                <w:rFonts w:ascii="Times New Roman" w:hAnsi="Times New Roman" w:cs="Times New Roman"/>
              </w:rPr>
            </w:pPr>
          </w:p>
        </w:tc>
      </w:tr>
      <w:tr w:rsidR="0045525D" w:rsidRPr="008D58AE" w14:paraId="0EFFC290" w14:textId="77777777">
        <w:tc>
          <w:tcPr>
            <w:tcW w:w="1150" w:type="dxa"/>
            <w:tcMar>
              <w:top w:w="40" w:type="dxa"/>
              <w:left w:w="80" w:type="dxa"/>
              <w:bottom w:w="40" w:type="dxa"/>
              <w:right w:w="80" w:type="dxa"/>
            </w:tcMar>
            <w:vAlign w:val="center"/>
          </w:tcPr>
          <w:p w14:paraId="659AAF7D"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3.2.4.2.9</w:t>
            </w:r>
          </w:p>
        </w:tc>
        <w:tc>
          <w:tcPr>
            <w:tcW w:w="5016" w:type="dxa"/>
            <w:tcMar>
              <w:top w:w="40" w:type="dxa"/>
              <w:left w:w="80" w:type="dxa"/>
              <w:bottom w:w="40" w:type="dxa"/>
              <w:right w:w="80" w:type="dxa"/>
            </w:tcMar>
            <w:vAlign w:val="center"/>
          </w:tcPr>
          <w:p w14:paraId="7A4B4791"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2.4.3 – Remplacement des rampes et mains courantes</w:t>
            </w:r>
          </w:p>
          <w:p w14:paraId="35057ADD"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Dépose complète et méthodique des anciennes rampe, main courante, balustres et lisse basse avec extraction des fixations, rebouchages, contrôle de l’état des supports, évacuation en filière agréée avec tri ; fourniture et pose de nouvelles mains courantes des deux côtés de l’escalier en bois massif (humidité 8-12 %, sans défauts), continues sur toute la volée y compris changements de direction, section de préhension 3,5 à 5 cm, écartement mural ≥ 4,5 cm, hauteur 80 à 100 cm au-dessus du nez de marche, fixation sur poteaux et/ou consoles murales avec contrôle du parallélisme à la ligne de foulée, finitions soignées (bouchons bois, cache-vis assortis) ; conformité NF P 01-012.</w:t>
            </w:r>
          </w:p>
        </w:tc>
        <w:tc>
          <w:tcPr>
            <w:tcW w:w="800" w:type="dxa"/>
            <w:tcMar>
              <w:top w:w="40" w:type="dxa"/>
              <w:left w:w="80" w:type="dxa"/>
              <w:bottom w:w="40" w:type="dxa"/>
              <w:right w:w="80" w:type="dxa"/>
            </w:tcMar>
            <w:vAlign w:val="center"/>
          </w:tcPr>
          <w:p w14:paraId="2E474D6C" w14:textId="77777777" w:rsidR="0045525D" w:rsidRPr="008D58AE" w:rsidRDefault="000406DB">
            <w:pPr>
              <w:spacing w:before="40" w:after="40"/>
              <w:jc w:val="center"/>
              <w:rPr>
                <w:rFonts w:ascii="Times New Roman" w:hAnsi="Times New Roman" w:cs="Times New Roman"/>
              </w:rPr>
            </w:pPr>
            <w:r>
              <w:rPr>
                <w:rFonts w:ascii="Times New Roman" w:hAnsi="Times New Roman" w:cs="Times New Roman"/>
              </w:rPr>
              <w:t>ENS</w:t>
            </w:r>
          </w:p>
        </w:tc>
        <w:tc>
          <w:tcPr>
            <w:tcW w:w="900" w:type="dxa"/>
            <w:tcMar>
              <w:top w:w="40" w:type="dxa"/>
              <w:left w:w="80" w:type="dxa"/>
              <w:bottom w:w="40" w:type="dxa"/>
              <w:right w:w="80" w:type="dxa"/>
            </w:tcMar>
            <w:vAlign w:val="center"/>
          </w:tcPr>
          <w:p w14:paraId="0071F99C"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2F819330"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18F87727" w14:textId="77777777" w:rsidR="0045525D" w:rsidRPr="008D58AE" w:rsidRDefault="0045525D">
            <w:pPr>
              <w:spacing w:before="40" w:after="40"/>
              <w:rPr>
                <w:rFonts w:ascii="Times New Roman" w:hAnsi="Times New Roman" w:cs="Times New Roman"/>
              </w:rPr>
            </w:pPr>
          </w:p>
        </w:tc>
      </w:tr>
      <w:tr w:rsidR="0045525D" w:rsidRPr="008D58AE" w14:paraId="666CCA62" w14:textId="77777777">
        <w:tc>
          <w:tcPr>
            <w:tcW w:w="10466" w:type="dxa"/>
            <w:gridSpan w:val="6"/>
            <w:shd w:val="clear" w:color="auto" w:fill="BFBFBF"/>
            <w:tcMar>
              <w:top w:w="40" w:type="dxa"/>
              <w:left w:w="80" w:type="dxa"/>
              <w:bottom w:w="40" w:type="dxa"/>
              <w:right w:w="80" w:type="dxa"/>
            </w:tcMar>
            <w:vAlign w:val="center"/>
          </w:tcPr>
          <w:p w14:paraId="04D7D0AA"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sz w:val="20"/>
                <w:szCs w:val="20"/>
              </w:rPr>
              <w:t>2.5 – Nettoyage de fin de chantier (CCTP § 3.3)</w:t>
            </w:r>
          </w:p>
        </w:tc>
      </w:tr>
      <w:tr w:rsidR="0045525D" w:rsidRPr="008D58AE" w14:paraId="22BA67F9" w14:textId="77777777">
        <w:tc>
          <w:tcPr>
            <w:tcW w:w="1150" w:type="dxa"/>
            <w:tcMar>
              <w:top w:w="40" w:type="dxa"/>
              <w:left w:w="80" w:type="dxa"/>
              <w:bottom w:w="40" w:type="dxa"/>
              <w:right w:w="80" w:type="dxa"/>
            </w:tcMar>
            <w:vAlign w:val="center"/>
          </w:tcPr>
          <w:p w14:paraId="769CF1C5"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rPr>
              <w:t>3.3</w:t>
            </w:r>
          </w:p>
        </w:tc>
        <w:tc>
          <w:tcPr>
            <w:tcW w:w="5016" w:type="dxa"/>
            <w:tcMar>
              <w:top w:w="40" w:type="dxa"/>
              <w:left w:w="80" w:type="dxa"/>
              <w:bottom w:w="40" w:type="dxa"/>
              <w:right w:w="80" w:type="dxa"/>
            </w:tcMar>
            <w:vAlign w:val="center"/>
          </w:tcPr>
          <w:p w14:paraId="7DF404C1"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b/>
                <w:bCs/>
              </w:rPr>
              <w:t>2.5.1 – Nettoyage très minutieux de mise en service – bâtiments 87 et H</w:t>
            </w:r>
          </w:p>
          <w:p w14:paraId="1567596D" w14:textId="77777777" w:rsidR="0045525D" w:rsidRPr="008D58AE" w:rsidRDefault="005479BE" w:rsidP="008528C2">
            <w:pPr>
              <w:spacing w:before="40" w:after="40"/>
              <w:jc w:val="both"/>
              <w:rPr>
                <w:rFonts w:ascii="Times New Roman" w:hAnsi="Times New Roman" w:cs="Times New Roman"/>
              </w:rPr>
            </w:pPr>
            <w:r>
              <w:rPr>
                <w:rFonts w:ascii="Times New Roman" w:hAnsi="Times New Roman" w:cs="Times New Roman"/>
                <w:sz w:val="16"/>
                <w:szCs w:val="16"/>
              </w:rPr>
              <w:t>À l’achèvement des travaux et avant les OPR : enlèvement de toutes protections, films, étiquettes, cales et résidus ; nettoyage complet des sols (détergence adaptée, décapage et première protection d’entretien des sols PVC si prescrite, lavage et détartrage des carrelages avec élimination des voiles de ciment) ; nettoyage des faïences, appareils sanitaires et robinetteries, menuiseries intérieures, vitrages intérieurs et extérieurs, appareillages et quincailleries ; dépoussiérage des plafonds, grilles, plinthes et équipements ; évacuation des déchets résiduels avec BSD ; locaux livrés prêts à l’emménagement, nettoyage complémentaire après levées de réserves si exigé, produits compatibles avec les consignes d’entretien des fabricants (intégrées au DOE).</w:t>
            </w:r>
          </w:p>
        </w:tc>
        <w:tc>
          <w:tcPr>
            <w:tcW w:w="800" w:type="dxa"/>
            <w:tcMar>
              <w:top w:w="40" w:type="dxa"/>
              <w:left w:w="80" w:type="dxa"/>
              <w:bottom w:w="40" w:type="dxa"/>
              <w:right w:w="80" w:type="dxa"/>
            </w:tcMar>
            <w:vAlign w:val="center"/>
          </w:tcPr>
          <w:p w14:paraId="38DE6112" w14:textId="77777777" w:rsidR="0045525D" w:rsidRPr="008D58AE" w:rsidRDefault="000406DB">
            <w:pPr>
              <w:spacing w:before="40" w:after="40"/>
              <w:jc w:val="center"/>
              <w:rPr>
                <w:rFonts w:ascii="Times New Roman" w:hAnsi="Times New Roman" w:cs="Times New Roman"/>
              </w:rPr>
            </w:pPr>
            <w:r>
              <w:rPr>
                <w:rFonts w:ascii="Times New Roman" w:hAnsi="Times New Roman" w:cs="Times New Roman"/>
              </w:rPr>
              <w:t>ENS</w:t>
            </w:r>
          </w:p>
        </w:tc>
        <w:tc>
          <w:tcPr>
            <w:tcW w:w="900" w:type="dxa"/>
            <w:tcMar>
              <w:top w:w="40" w:type="dxa"/>
              <w:left w:w="80" w:type="dxa"/>
              <w:bottom w:w="40" w:type="dxa"/>
              <w:right w:w="80" w:type="dxa"/>
            </w:tcMar>
            <w:vAlign w:val="center"/>
          </w:tcPr>
          <w:p w14:paraId="463ECB67" w14:textId="77777777" w:rsidR="0045525D" w:rsidRPr="008D58AE" w:rsidRDefault="0045525D">
            <w:pPr>
              <w:spacing w:before="40" w:after="40"/>
              <w:jc w:val="center"/>
              <w:rPr>
                <w:rFonts w:ascii="Times New Roman" w:hAnsi="Times New Roman" w:cs="Times New Roman"/>
              </w:rPr>
            </w:pPr>
          </w:p>
        </w:tc>
        <w:tc>
          <w:tcPr>
            <w:tcW w:w="1200" w:type="dxa"/>
            <w:tcMar>
              <w:top w:w="40" w:type="dxa"/>
              <w:left w:w="80" w:type="dxa"/>
              <w:bottom w:w="40" w:type="dxa"/>
              <w:right w:w="80" w:type="dxa"/>
            </w:tcMar>
            <w:vAlign w:val="center"/>
          </w:tcPr>
          <w:p w14:paraId="720DFC6A" w14:textId="77777777" w:rsidR="0045525D" w:rsidRPr="008D58AE" w:rsidRDefault="0045525D">
            <w:pPr>
              <w:spacing w:before="40" w:after="40"/>
              <w:rPr>
                <w:rFonts w:ascii="Times New Roman" w:hAnsi="Times New Roman" w:cs="Times New Roman"/>
              </w:rPr>
            </w:pPr>
          </w:p>
        </w:tc>
        <w:tc>
          <w:tcPr>
            <w:tcW w:w="1400" w:type="dxa"/>
            <w:tcMar>
              <w:top w:w="40" w:type="dxa"/>
              <w:left w:w="80" w:type="dxa"/>
              <w:bottom w:w="40" w:type="dxa"/>
              <w:right w:w="80" w:type="dxa"/>
            </w:tcMar>
            <w:vAlign w:val="center"/>
          </w:tcPr>
          <w:p w14:paraId="1D997216" w14:textId="77777777" w:rsidR="0045525D" w:rsidRPr="008D58AE" w:rsidRDefault="0045525D">
            <w:pPr>
              <w:spacing w:before="40" w:after="40"/>
              <w:rPr>
                <w:rFonts w:ascii="Times New Roman" w:hAnsi="Times New Roman" w:cs="Times New Roman"/>
              </w:rPr>
            </w:pPr>
          </w:p>
        </w:tc>
      </w:tr>
      <w:tr w:rsidR="0045525D" w:rsidRPr="008D58AE" w14:paraId="68F67F0B" w14:textId="77777777">
        <w:tc>
          <w:tcPr>
            <w:tcW w:w="1150" w:type="dxa"/>
            <w:shd w:val="clear" w:color="auto" w:fill="F2F2F2"/>
            <w:tcMar>
              <w:top w:w="40" w:type="dxa"/>
              <w:left w:w="80" w:type="dxa"/>
              <w:bottom w:w="40" w:type="dxa"/>
              <w:right w:w="80" w:type="dxa"/>
            </w:tcMar>
            <w:vAlign w:val="center"/>
          </w:tcPr>
          <w:p w14:paraId="643374DA" w14:textId="77777777" w:rsidR="0045525D" w:rsidRPr="008D58AE" w:rsidRDefault="0045525D">
            <w:pPr>
              <w:spacing w:before="40" w:after="40"/>
              <w:rPr>
                <w:rFonts w:ascii="Times New Roman" w:hAnsi="Times New Roman" w:cs="Times New Roman"/>
              </w:rPr>
            </w:pPr>
          </w:p>
        </w:tc>
        <w:tc>
          <w:tcPr>
            <w:tcW w:w="6716" w:type="dxa"/>
            <w:gridSpan w:val="3"/>
            <w:shd w:val="clear" w:color="auto" w:fill="F2F2F2"/>
            <w:tcMar>
              <w:top w:w="40" w:type="dxa"/>
              <w:left w:w="80" w:type="dxa"/>
              <w:bottom w:w="40" w:type="dxa"/>
              <w:right w:w="80" w:type="dxa"/>
            </w:tcMar>
            <w:vAlign w:val="center"/>
          </w:tcPr>
          <w:p w14:paraId="2516AE48" w14:textId="77777777" w:rsidR="0045525D" w:rsidRPr="008D58AE" w:rsidRDefault="005479BE">
            <w:pPr>
              <w:spacing w:before="40" w:after="40"/>
              <w:jc w:val="right"/>
              <w:rPr>
                <w:rFonts w:ascii="Times New Roman" w:hAnsi="Times New Roman" w:cs="Times New Roman"/>
              </w:rPr>
            </w:pPr>
            <w:r>
              <w:rPr>
                <w:rFonts w:ascii="Times New Roman" w:hAnsi="Times New Roman" w:cs="Times New Roman"/>
                <w:b/>
                <w:bCs/>
              </w:rPr>
              <w:t>SOUS-TOTAL SECTION TECHNIQUE N° 2 – € HT</w:t>
            </w:r>
          </w:p>
        </w:tc>
        <w:tc>
          <w:tcPr>
            <w:tcW w:w="1200" w:type="dxa"/>
            <w:shd w:val="clear" w:color="auto" w:fill="F2F2F2"/>
            <w:tcMar>
              <w:top w:w="40" w:type="dxa"/>
              <w:left w:w="80" w:type="dxa"/>
              <w:bottom w:w="40" w:type="dxa"/>
              <w:right w:w="80" w:type="dxa"/>
            </w:tcMar>
            <w:vAlign w:val="center"/>
          </w:tcPr>
          <w:p w14:paraId="7228C6E3" w14:textId="77777777" w:rsidR="0045525D" w:rsidRPr="008D58AE" w:rsidRDefault="0045525D">
            <w:pPr>
              <w:spacing w:before="40" w:after="40"/>
              <w:rPr>
                <w:rFonts w:ascii="Times New Roman" w:hAnsi="Times New Roman" w:cs="Times New Roman"/>
              </w:rPr>
            </w:pPr>
          </w:p>
        </w:tc>
        <w:tc>
          <w:tcPr>
            <w:tcW w:w="1400" w:type="dxa"/>
            <w:shd w:val="clear" w:color="auto" w:fill="F2F2F2"/>
            <w:tcMar>
              <w:top w:w="40" w:type="dxa"/>
              <w:left w:w="80" w:type="dxa"/>
              <w:bottom w:w="40" w:type="dxa"/>
              <w:right w:w="80" w:type="dxa"/>
            </w:tcMar>
            <w:vAlign w:val="center"/>
          </w:tcPr>
          <w:p w14:paraId="2162DE4A" w14:textId="77777777" w:rsidR="0045525D" w:rsidRPr="008D58AE" w:rsidRDefault="0045525D">
            <w:pPr>
              <w:spacing w:before="40" w:after="40"/>
              <w:rPr>
                <w:rFonts w:ascii="Times New Roman" w:hAnsi="Times New Roman" w:cs="Times New Roman"/>
              </w:rPr>
            </w:pPr>
          </w:p>
        </w:tc>
      </w:tr>
    </w:tbl>
    <w:p w14:paraId="5374B1BF" w14:textId="77777777" w:rsidR="0045525D" w:rsidRPr="008D58AE" w:rsidRDefault="0045525D">
      <w:pPr>
        <w:spacing w:before="40" w:after="120"/>
        <w:rPr>
          <w:rFonts w:ascii="Times New Roman" w:hAnsi="Times New Roman" w:cs="Times New Roman"/>
        </w:rPr>
      </w:pP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066"/>
        <w:gridCol w:w="1400"/>
      </w:tblGrid>
      <w:tr w:rsidR="0045525D" w:rsidRPr="008D58AE" w14:paraId="5D06B523" w14:textId="77777777">
        <w:tc>
          <w:tcPr>
            <w:tcW w:w="10466" w:type="dxa"/>
            <w:gridSpan w:val="2"/>
            <w:shd w:val="clear" w:color="auto" w:fill="A6A6A6"/>
            <w:tcMar>
              <w:top w:w="40" w:type="dxa"/>
              <w:left w:w="80" w:type="dxa"/>
              <w:bottom w:w="40" w:type="dxa"/>
              <w:right w:w="80" w:type="dxa"/>
            </w:tcMar>
            <w:vAlign w:val="center"/>
          </w:tcPr>
          <w:p w14:paraId="3ED3C3AE" w14:textId="77777777" w:rsidR="0045525D" w:rsidRPr="008D58AE" w:rsidRDefault="005479BE">
            <w:pPr>
              <w:spacing w:before="40" w:after="40"/>
              <w:jc w:val="center"/>
              <w:rPr>
                <w:rFonts w:ascii="Times New Roman" w:hAnsi="Times New Roman" w:cs="Times New Roman"/>
              </w:rPr>
            </w:pPr>
            <w:r>
              <w:rPr>
                <w:rFonts w:ascii="Times New Roman" w:hAnsi="Times New Roman" w:cs="Times New Roman"/>
                <w:b/>
                <w:bCs/>
                <w:sz w:val="22"/>
                <w:szCs w:val="22"/>
              </w:rPr>
              <w:t>RÉCAPITULATIF GÉNÉRAL – LOT N° 02 : SECOND-ŒUVRE</w:t>
            </w:r>
          </w:p>
        </w:tc>
      </w:tr>
      <w:tr w:rsidR="0045525D" w:rsidRPr="008D58AE" w14:paraId="12DDDF82" w14:textId="77777777">
        <w:tc>
          <w:tcPr>
            <w:tcW w:w="9066" w:type="dxa"/>
            <w:shd w:val="clear" w:color="auto" w:fill="FFFFFF"/>
            <w:tcMar>
              <w:top w:w="40" w:type="dxa"/>
              <w:left w:w="80" w:type="dxa"/>
              <w:bottom w:w="40" w:type="dxa"/>
              <w:right w:w="80" w:type="dxa"/>
            </w:tcMar>
            <w:vAlign w:val="center"/>
          </w:tcPr>
          <w:p w14:paraId="655FF221" w14:textId="77777777" w:rsidR="0045525D" w:rsidRPr="008D58AE" w:rsidRDefault="005479BE" w:rsidP="008D58AE">
            <w:pPr>
              <w:spacing w:before="40" w:after="40"/>
              <w:rPr>
                <w:rFonts w:ascii="Times New Roman" w:hAnsi="Times New Roman" w:cs="Times New Roman"/>
              </w:rPr>
            </w:pPr>
            <w:r>
              <w:rPr>
                <w:rFonts w:ascii="Times New Roman" w:hAnsi="Times New Roman" w:cs="Times New Roman"/>
                <w:sz w:val="20"/>
                <w:szCs w:val="20"/>
              </w:rPr>
              <w:t>Sous-total section technique n° 1 – Isolation, plâtrerie, plafonds, peinture, menuiseries intérieures … € HT</w:t>
            </w:r>
          </w:p>
        </w:tc>
        <w:tc>
          <w:tcPr>
            <w:tcW w:w="1400" w:type="dxa"/>
            <w:shd w:val="clear" w:color="auto" w:fill="FFFFFF"/>
            <w:tcMar>
              <w:top w:w="40" w:type="dxa"/>
              <w:left w:w="80" w:type="dxa"/>
              <w:bottom w:w="40" w:type="dxa"/>
              <w:right w:w="80" w:type="dxa"/>
            </w:tcMar>
            <w:vAlign w:val="center"/>
          </w:tcPr>
          <w:p w14:paraId="2CD8C3D7" w14:textId="77777777" w:rsidR="0045525D" w:rsidRPr="008D58AE" w:rsidRDefault="0045525D">
            <w:pPr>
              <w:spacing w:before="40" w:after="40"/>
              <w:rPr>
                <w:rFonts w:ascii="Times New Roman" w:hAnsi="Times New Roman" w:cs="Times New Roman"/>
              </w:rPr>
            </w:pPr>
          </w:p>
        </w:tc>
      </w:tr>
      <w:tr w:rsidR="0045525D" w:rsidRPr="008D58AE" w14:paraId="4A665EC7" w14:textId="77777777">
        <w:tc>
          <w:tcPr>
            <w:tcW w:w="9066" w:type="dxa"/>
            <w:shd w:val="clear" w:color="auto" w:fill="FFFFFF"/>
            <w:tcMar>
              <w:top w:w="40" w:type="dxa"/>
              <w:left w:w="80" w:type="dxa"/>
              <w:bottom w:w="40" w:type="dxa"/>
              <w:right w:w="80" w:type="dxa"/>
            </w:tcMar>
            <w:vAlign w:val="center"/>
          </w:tcPr>
          <w:p w14:paraId="64D42DE1" w14:textId="77777777" w:rsidR="0045525D" w:rsidRPr="008D58AE" w:rsidRDefault="005479BE" w:rsidP="008D58AE">
            <w:pPr>
              <w:spacing w:before="40" w:after="40"/>
              <w:rPr>
                <w:rFonts w:ascii="Times New Roman" w:hAnsi="Times New Roman" w:cs="Times New Roman"/>
              </w:rPr>
            </w:pPr>
            <w:r>
              <w:rPr>
                <w:rFonts w:ascii="Times New Roman" w:hAnsi="Times New Roman" w:cs="Times New Roman"/>
                <w:sz w:val="20"/>
                <w:szCs w:val="20"/>
              </w:rPr>
              <w:t>Sous-total section technique n° 2 – Revêtements sols et murs, escalier, nettoyage … € HT</w:t>
            </w:r>
          </w:p>
        </w:tc>
        <w:tc>
          <w:tcPr>
            <w:tcW w:w="1400" w:type="dxa"/>
            <w:shd w:val="clear" w:color="auto" w:fill="FFFFFF"/>
            <w:tcMar>
              <w:top w:w="40" w:type="dxa"/>
              <w:left w:w="80" w:type="dxa"/>
              <w:bottom w:w="40" w:type="dxa"/>
              <w:right w:w="80" w:type="dxa"/>
            </w:tcMar>
            <w:vAlign w:val="center"/>
          </w:tcPr>
          <w:p w14:paraId="3AF0FEA9" w14:textId="77777777" w:rsidR="0045525D" w:rsidRPr="008D58AE" w:rsidRDefault="0045525D">
            <w:pPr>
              <w:spacing w:before="40" w:after="40"/>
              <w:rPr>
                <w:rFonts w:ascii="Times New Roman" w:hAnsi="Times New Roman" w:cs="Times New Roman"/>
              </w:rPr>
            </w:pPr>
          </w:p>
        </w:tc>
      </w:tr>
      <w:tr w:rsidR="0045525D" w:rsidRPr="008D58AE" w14:paraId="1A46D46B" w14:textId="77777777">
        <w:tc>
          <w:tcPr>
            <w:tcW w:w="9066" w:type="dxa"/>
            <w:shd w:val="clear" w:color="auto" w:fill="D9D9D9"/>
            <w:tcMar>
              <w:top w:w="40" w:type="dxa"/>
              <w:left w:w="80" w:type="dxa"/>
              <w:bottom w:w="40" w:type="dxa"/>
              <w:right w:w="80" w:type="dxa"/>
            </w:tcMar>
            <w:vAlign w:val="center"/>
          </w:tcPr>
          <w:p w14:paraId="544ED9C6" w14:textId="77777777" w:rsidR="0045525D" w:rsidRPr="008D58AE" w:rsidRDefault="005479BE">
            <w:pPr>
              <w:spacing w:before="40" w:after="40"/>
              <w:jc w:val="right"/>
              <w:rPr>
                <w:rFonts w:ascii="Times New Roman" w:hAnsi="Times New Roman" w:cs="Times New Roman"/>
              </w:rPr>
            </w:pPr>
            <w:r>
              <w:rPr>
                <w:rFonts w:ascii="Times New Roman" w:hAnsi="Times New Roman" w:cs="Times New Roman"/>
                <w:b/>
                <w:bCs/>
                <w:sz w:val="20"/>
                <w:szCs w:val="20"/>
              </w:rPr>
              <w:t>TOTAL GÉNÉRAL € HT</w:t>
            </w:r>
          </w:p>
        </w:tc>
        <w:tc>
          <w:tcPr>
            <w:tcW w:w="1400" w:type="dxa"/>
            <w:shd w:val="clear" w:color="auto" w:fill="D9D9D9"/>
            <w:tcMar>
              <w:top w:w="40" w:type="dxa"/>
              <w:left w:w="80" w:type="dxa"/>
              <w:bottom w:w="40" w:type="dxa"/>
              <w:right w:w="80" w:type="dxa"/>
            </w:tcMar>
            <w:vAlign w:val="center"/>
          </w:tcPr>
          <w:p w14:paraId="700566D4" w14:textId="77777777" w:rsidR="0045525D" w:rsidRPr="008D58AE" w:rsidRDefault="0045525D">
            <w:pPr>
              <w:spacing w:before="40" w:after="40"/>
              <w:rPr>
                <w:rFonts w:ascii="Times New Roman" w:hAnsi="Times New Roman" w:cs="Times New Roman"/>
              </w:rPr>
            </w:pPr>
          </w:p>
        </w:tc>
      </w:tr>
      <w:tr w:rsidR="0045525D" w:rsidRPr="008D58AE" w14:paraId="08C688D5" w14:textId="77777777">
        <w:tc>
          <w:tcPr>
            <w:tcW w:w="9066" w:type="dxa"/>
            <w:shd w:val="clear" w:color="auto" w:fill="D9D9D9"/>
            <w:tcMar>
              <w:top w:w="40" w:type="dxa"/>
              <w:left w:w="80" w:type="dxa"/>
              <w:bottom w:w="40" w:type="dxa"/>
              <w:right w:w="80" w:type="dxa"/>
            </w:tcMar>
            <w:vAlign w:val="center"/>
          </w:tcPr>
          <w:p w14:paraId="2A4FDB06" w14:textId="77777777" w:rsidR="0045525D" w:rsidRPr="008D58AE" w:rsidRDefault="005479BE">
            <w:pPr>
              <w:spacing w:before="40" w:after="40"/>
              <w:jc w:val="right"/>
              <w:rPr>
                <w:rFonts w:ascii="Times New Roman" w:hAnsi="Times New Roman" w:cs="Times New Roman"/>
              </w:rPr>
            </w:pPr>
            <w:r>
              <w:rPr>
                <w:rFonts w:ascii="Times New Roman" w:hAnsi="Times New Roman" w:cs="Times New Roman"/>
                <w:b/>
                <w:bCs/>
                <w:sz w:val="20"/>
                <w:szCs w:val="20"/>
              </w:rPr>
              <w:t>TVA 20 %</w:t>
            </w:r>
          </w:p>
        </w:tc>
        <w:tc>
          <w:tcPr>
            <w:tcW w:w="1400" w:type="dxa"/>
            <w:shd w:val="clear" w:color="auto" w:fill="D9D9D9"/>
            <w:tcMar>
              <w:top w:w="40" w:type="dxa"/>
              <w:left w:w="80" w:type="dxa"/>
              <w:bottom w:w="40" w:type="dxa"/>
              <w:right w:w="80" w:type="dxa"/>
            </w:tcMar>
            <w:vAlign w:val="center"/>
          </w:tcPr>
          <w:p w14:paraId="549239F7" w14:textId="77777777" w:rsidR="0045525D" w:rsidRPr="008D58AE" w:rsidRDefault="0045525D">
            <w:pPr>
              <w:spacing w:before="40" w:after="40"/>
              <w:rPr>
                <w:rFonts w:ascii="Times New Roman" w:hAnsi="Times New Roman" w:cs="Times New Roman"/>
              </w:rPr>
            </w:pPr>
          </w:p>
        </w:tc>
      </w:tr>
      <w:tr w:rsidR="0045525D" w:rsidRPr="008D58AE" w14:paraId="1E256E18" w14:textId="77777777">
        <w:tc>
          <w:tcPr>
            <w:tcW w:w="9066" w:type="dxa"/>
            <w:shd w:val="clear" w:color="auto" w:fill="D9D9D9"/>
            <w:tcMar>
              <w:top w:w="40" w:type="dxa"/>
              <w:left w:w="80" w:type="dxa"/>
              <w:bottom w:w="40" w:type="dxa"/>
              <w:right w:w="80" w:type="dxa"/>
            </w:tcMar>
            <w:vAlign w:val="center"/>
          </w:tcPr>
          <w:p w14:paraId="437C0D86" w14:textId="77777777" w:rsidR="0045525D" w:rsidRPr="008D58AE" w:rsidRDefault="005479BE">
            <w:pPr>
              <w:spacing w:before="40" w:after="40"/>
              <w:jc w:val="right"/>
              <w:rPr>
                <w:rFonts w:ascii="Times New Roman" w:hAnsi="Times New Roman" w:cs="Times New Roman"/>
              </w:rPr>
            </w:pPr>
            <w:r>
              <w:rPr>
                <w:rFonts w:ascii="Times New Roman" w:hAnsi="Times New Roman" w:cs="Times New Roman"/>
                <w:b/>
                <w:bCs/>
                <w:sz w:val="20"/>
                <w:szCs w:val="20"/>
              </w:rPr>
              <w:t>TOTAL GÉNÉRAL € TTC</w:t>
            </w:r>
          </w:p>
        </w:tc>
        <w:tc>
          <w:tcPr>
            <w:tcW w:w="1400" w:type="dxa"/>
            <w:shd w:val="clear" w:color="auto" w:fill="D9D9D9"/>
            <w:tcMar>
              <w:top w:w="40" w:type="dxa"/>
              <w:left w:w="80" w:type="dxa"/>
              <w:bottom w:w="40" w:type="dxa"/>
              <w:right w:w="80" w:type="dxa"/>
            </w:tcMar>
            <w:vAlign w:val="center"/>
          </w:tcPr>
          <w:p w14:paraId="091FA5B9" w14:textId="77777777" w:rsidR="0045525D" w:rsidRPr="008D58AE" w:rsidRDefault="0045525D">
            <w:pPr>
              <w:spacing w:before="40" w:after="40"/>
              <w:rPr>
                <w:rFonts w:ascii="Times New Roman" w:hAnsi="Times New Roman" w:cs="Times New Roman"/>
              </w:rPr>
            </w:pPr>
          </w:p>
        </w:tc>
      </w:tr>
    </w:tbl>
    <w:p w14:paraId="1CFD57ED" w14:textId="65AE6138" w:rsidR="0045525D" w:rsidRPr="008D58AE" w:rsidRDefault="00416FD1">
      <w:pPr>
        <w:spacing w:before="120" w:after="40"/>
        <w:rPr>
          <w:rFonts w:ascii="Times New Roman" w:hAnsi="Times New Roman" w:cs="Times New Roman"/>
        </w:rPr>
      </w:pPr>
      <w:bookmarkStart w:id="0" w:name="_GoBack"/>
      <w:bookmarkEnd w:id="0"/>
      <w:r>
        <w:rPr>
          <w:rFonts w:ascii="Times New Roman" w:hAnsi="Times New Roman" w:cs="Times New Roman"/>
          <w:i/>
          <w:iCs/>
          <w:sz w:val="16"/>
          <w:szCs w:val="16"/>
        </w:rPr>
        <w:t>Quantités à estimées</w:t>
      </w:r>
      <w:r w:rsidR="005479BE">
        <w:rPr>
          <w:rFonts w:ascii="Times New Roman" w:hAnsi="Times New Roman" w:cs="Times New Roman"/>
          <w:i/>
          <w:iCs/>
          <w:sz w:val="16"/>
          <w:szCs w:val="16"/>
        </w:rPr>
        <w:t xml:space="preserve"> par le candidat (visite de site, carnet de plans, relevés sur place) – marché à prix global et forfaitaire.</w:t>
      </w:r>
    </w:p>
    <w:p w14:paraId="3E22E455" w14:textId="77777777" w:rsidR="0045525D" w:rsidRPr="008D58AE" w:rsidRDefault="0045525D">
      <w:pPr>
        <w:spacing w:before="40" w:after="200"/>
        <w:rPr>
          <w:rFonts w:ascii="Times New Roman" w:hAnsi="Times New Roman" w:cs="Times New Roman"/>
        </w:rPr>
      </w:pPr>
    </w:p>
    <w:p w14:paraId="5B9E646C" w14:textId="77777777" w:rsidR="0045525D" w:rsidRPr="008D58AE" w:rsidRDefault="005479BE">
      <w:pPr>
        <w:spacing w:before="200" w:after="40"/>
        <w:rPr>
          <w:rFonts w:ascii="Times New Roman" w:hAnsi="Times New Roman" w:cs="Times New Roman"/>
        </w:rPr>
      </w:pPr>
      <w:r>
        <w:rPr>
          <w:rFonts w:ascii="Times New Roman" w:hAnsi="Times New Roman" w:cs="Times New Roman"/>
          <w:sz w:val="20"/>
          <w:szCs w:val="20"/>
        </w:rPr>
        <w:t>Fait à ……………………………………, le ……………………………</w:t>
      </w:r>
    </w:p>
    <w:p w14:paraId="667F7160" w14:textId="77777777" w:rsidR="0045525D" w:rsidRPr="008D58AE" w:rsidRDefault="005479BE">
      <w:pPr>
        <w:spacing w:before="120" w:after="600"/>
        <w:rPr>
          <w:rFonts w:ascii="Times New Roman" w:hAnsi="Times New Roman" w:cs="Times New Roman"/>
        </w:rPr>
      </w:pPr>
      <w:r>
        <w:rPr>
          <w:rFonts w:ascii="Times New Roman" w:hAnsi="Times New Roman" w:cs="Times New Roman"/>
          <w:sz w:val="20"/>
          <w:szCs w:val="20"/>
        </w:rPr>
        <w:t>Le candidat (cachet et signature) :</w:t>
      </w:r>
    </w:p>
    <w:p w14:paraId="422D7087" w14:textId="77777777" w:rsidR="0045525D" w:rsidRPr="008D58AE" w:rsidRDefault="005479BE">
      <w:pPr>
        <w:spacing w:before="400" w:after="40"/>
        <w:rPr>
          <w:rFonts w:ascii="Times New Roman" w:hAnsi="Times New Roman" w:cs="Times New Roman"/>
        </w:rPr>
      </w:pPr>
      <w:r>
        <w:rPr>
          <w:rFonts w:ascii="Times New Roman" w:hAnsi="Times New Roman" w:cs="Times New Roman"/>
          <w:sz w:val="20"/>
          <w:szCs w:val="20"/>
        </w:rPr>
        <w:t xml:space="preserve">Mention manuscrite « Lu et approuvé » </w:t>
      </w:r>
    </w:p>
    <w:sectPr w:rsidR="0045525D" w:rsidRPr="008D58AE">
      <w:pgSz w:w="11906" w:h="16838"/>
      <w:pgMar w:top="720" w:right="720" w:bottom="720" w:left="72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775C58"/>
    <w:multiLevelType w:val="hybridMultilevel"/>
    <w:tmpl w:val="B6988734"/>
    <w:lvl w:ilvl="0" w:tplc="44F27F82">
      <w:start w:val="1"/>
      <w:numFmt w:val="bullet"/>
      <w:lvlText w:val="●"/>
      <w:lvlJc w:val="left"/>
      <w:pPr>
        <w:ind w:left="720" w:hanging="360"/>
      </w:pPr>
    </w:lvl>
    <w:lvl w:ilvl="1" w:tplc="194611C6">
      <w:start w:val="1"/>
      <w:numFmt w:val="bullet"/>
      <w:lvlText w:val="○"/>
      <w:lvlJc w:val="left"/>
      <w:pPr>
        <w:ind w:left="1440" w:hanging="360"/>
      </w:pPr>
    </w:lvl>
    <w:lvl w:ilvl="2" w:tplc="3022179A">
      <w:start w:val="1"/>
      <w:numFmt w:val="bullet"/>
      <w:lvlText w:val="■"/>
      <w:lvlJc w:val="left"/>
      <w:pPr>
        <w:ind w:left="2160" w:hanging="360"/>
      </w:pPr>
    </w:lvl>
    <w:lvl w:ilvl="3" w:tplc="D9FE821C">
      <w:start w:val="1"/>
      <w:numFmt w:val="bullet"/>
      <w:lvlText w:val="●"/>
      <w:lvlJc w:val="left"/>
      <w:pPr>
        <w:ind w:left="2880" w:hanging="360"/>
      </w:pPr>
    </w:lvl>
    <w:lvl w:ilvl="4" w:tplc="F7263202">
      <w:start w:val="1"/>
      <w:numFmt w:val="bullet"/>
      <w:lvlText w:val="○"/>
      <w:lvlJc w:val="left"/>
      <w:pPr>
        <w:ind w:left="3600" w:hanging="360"/>
      </w:pPr>
    </w:lvl>
    <w:lvl w:ilvl="5" w:tplc="E10899AE">
      <w:start w:val="1"/>
      <w:numFmt w:val="bullet"/>
      <w:lvlText w:val="■"/>
      <w:lvlJc w:val="left"/>
      <w:pPr>
        <w:ind w:left="4320" w:hanging="360"/>
      </w:pPr>
    </w:lvl>
    <w:lvl w:ilvl="6" w:tplc="24204252">
      <w:start w:val="1"/>
      <w:numFmt w:val="bullet"/>
      <w:lvlText w:val="●"/>
      <w:lvlJc w:val="left"/>
      <w:pPr>
        <w:ind w:left="5040" w:hanging="360"/>
      </w:pPr>
    </w:lvl>
    <w:lvl w:ilvl="7" w:tplc="A91C028A">
      <w:start w:val="1"/>
      <w:numFmt w:val="bullet"/>
      <w:lvlText w:val="●"/>
      <w:lvlJc w:val="left"/>
      <w:pPr>
        <w:ind w:left="5760" w:hanging="360"/>
      </w:pPr>
    </w:lvl>
    <w:lvl w:ilvl="8" w:tplc="D7AECC9A">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25D"/>
    <w:rsid w:val="000406DB"/>
    <w:rsid w:val="00136509"/>
    <w:rsid w:val="00416FD1"/>
    <w:rsid w:val="0045525D"/>
    <w:rsid w:val="005479BE"/>
    <w:rsid w:val="00713E50"/>
    <w:rsid w:val="00802CCF"/>
    <w:rsid w:val="008528C2"/>
    <w:rsid w:val="008D58AE"/>
    <w:rsid w:val="009219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ADCBD"/>
  <w15:docId w15:val="{74EAC244-29D3-4E07-948E-D45235EB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18"/>
        <w:szCs w:val="18"/>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qFormat/>
    <w:pPr>
      <w:outlineLvl w:val="0"/>
    </w:pPr>
    <w:rPr>
      <w:color w:val="2E74B5"/>
      <w:sz w:val="32"/>
      <w:szCs w:val="32"/>
    </w:rPr>
  </w:style>
  <w:style w:type="paragraph" w:styleId="Titre2">
    <w:name w:val="heading 2"/>
    <w:qFormat/>
    <w:pPr>
      <w:outlineLvl w:val="1"/>
    </w:pPr>
    <w:rPr>
      <w:color w:val="2E74B5"/>
      <w:sz w:val="26"/>
      <w:szCs w:val="26"/>
    </w:rPr>
  </w:style>
  <w:style w:type="paragraph" w:styleId="Titre3">
    <w:name w:val="heading 3"/>
    <w:qFormat/>
    <w:pPr>
      <w:outlineLvl w:val="2"/>
    </w:pPr>
    <w:rPr>
      <w:color w:val="1F4D78"/>
      <w:sz w:val="24"/>
      <w:szCs w:val="24"/>
    </w:rPr>
  </w:style>
  <w:style w:type="paragraph" w:styleId="Titre4">
    <w:name w:val="heading 4"/>
    <w:qFormat/>
    <w:pPr>
      <w:outlineLvl w:val="3"/>
    </w:pPr>
    <w:rPr>
      <w:i/>
      <w:iCs/>
      <w:color w:val="2E74B5"/>
    </w:rPr>
  </w:style>
  <w:style w:type="paragraph" w:styleId="Titre5">
    <w:name w:val="heading 5"/>
    <w:qFormat/>
    <w:pPr>
      <w:outlineLvl w:val="4"/>
    </w:pPr>
    <w:rPr>
      <w:color w:val="2E74B5"/>
    </w:rPr>
  </w:style>
  <w:style w:type="paragraph" w:styleId="Titre6">
    <w:name w:val="heading 6"/>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C15399B325C741A7287DF3277F4B1E" ma:contentTypeVersion="1" ma:contentTypeDescription="Crée un document." ma:contentTypeScope="" ma:versionID="0d81b2f946e228ec30f66f4ad1b40652">
  <xsd:schema xmlns:xsd="http://www.w3.org/2001/XMLSchema" xmlns:xs="http://www.w3.org/2001/XMLSchema" xmlns:p="http://schemas.microsoft.com/office/2006/metadata/properties" xmlns:ns2="f9a79268-8d42-40fb-94c0-65f043680cc2" targetNamespace="http://schemas.microsoft.com/office/2006/metadata/properties" ma:root="true" ma:fieldsID="7f3cb1f478314e02678198134d528f23" ns2:_="">
    <xsd:import namespace="f9a79268-8d42-40fb-94c0-65f043680cc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a79268-8d42-40fb-94c0-65f043680cc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FF474F-2A8C-4B36-9181-8B12CD365F54}"/>
</file>

<file path=customXml/itemProps2.xml><?xml version="1.0" encoding="utf-8"?>
<ds:datastoreItem xmlns:ds="http://schemas.openxmlformats.org/officeDocument/2006/customXml" ds:itemID="{57FA036D-4E55-4EFF-89B4-8CE6413FC109}">
  <ds:schemaRefs>
    <ds:schemaRef ds:uri="http://schemas.microsoft.com/sharepoint/v3/contenttype/forms"/>
  </ds:schemaRefs>
</ds:datastoreItem>
</file>

<file path=customXml/itemProps3.xml><?xml version="1.0" encoding="utf-8"?>
<ds:datastoreItem xmlns:ds="http://schemas.openxmlformats.org/officeDocument/2006/customXml" ds:itemID="{72F34944-DCF0-4175-9FF8-6D1FD4BDABD1}">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b9c1fc8e-4872-46be-9d61-a8bb4d3efa2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4736</Words>
  <Characters>26048</Characters>
  <Application>Microsoft Office Word</Application>
  <DocSecurity>0</DocSecurity>
  <Lines>217</Lines>
  <Paragraphs>61</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30723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indira.zeric@intradef.gouv.fr</dc:creator>
  <cp:lastModifiedBy>PAES Jose SA CE MINDEF</cp:lastModifiedBy>
  <cp:revision>12</cp:revision>
  <dcterms:created xsi:type="dcterms:W3CDTF">2026-07-08T21:47:00Z</dcterms:created>
  <dcterms:modified xsi:type="dcterms:W3CDTF">2026-07-27T12:08:00Z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0x01010021C15399B325C741A7287DF3277F4B1E</vt:lpwstr>
  </property>
</Properties>
</file>